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w:t>
      </w:r>
      <w:r>
        <w:t xml:space="preserve"> </w:t>
      </w:r>
      <w:r>
        <w:rPr>
          <w:i/>
          <w:iCs/>
        </w:rPr>
        <w:t xml:space="preserve">in vitro</w:t>
      </w:r>
      <w:r>
        <w:t xml:space="preserve"> </w:t>
      </w:r>
      <w:r>
        <w:t xml:space="preserve">accuracy (80–100%), external robustness tests demonstrate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have evolved beyond their initial intellectual property function to become strategic instruments for environmental governance and agrobiodiversity conservation in the Anthropocene</w:t>
      </w:r>
      <w:r>
        <w:t xml:space="preserve"> </w:t>
      </w:r>
      <w:r>
        <w:t xml:space="preserve">(Vandecandelaere</w:t>
      </w:r>
      <w:r>
        <w:t xml:space="preserve"> </w:t>
      </w:r>
      <w:r>
        <w:rPr>
          <w:i/>
          <w:iCs/>
        </w:rPr>
        <w:t xml:space="preserve">et al.</w:t>
      </w:r>
      <w:r>
        <w:t xml:space="preserve">, 2009; Belletti, Marescotti and Touzard, 2017)</w:t>
      </w:r>
      <w:r>
        <w:t xml:space="preserve">. Amidst the global climate crisis and biodiversity erosion, GIs function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biophysical signature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w:t>
      </w:r>
      <w:r>
        <w:t xml:space="preserve"> </w:t>
      </w:r>
      <w:r>
        <w:t xml:space="preserve">(Kuhn and Johnson, 2013)</w:t>
      </w:r>
      <w:r>
        <w:t xml:space="preserve">.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w:t>
      </w:r>
      <w:r>
        <w:t xml:space="preserve"> </w:t>
      </w:r>
      <w:r>
        <w:t xml:space="preserve">(Kshetri, 2014b; Wilkinson, 2021)</w:t>
      </w:r>
      <w:r>
        <w:t xml:space="preserve">. Consequently, Machine Learning serves as an intrinsic analytical mechanism to process the non-linearity of multiscale data, enabling the epistemic sovereignty of producing communities</w:t>
      </w:r>
      <w:r>
        <w:t xml:space="preserve"> </w:t>
      </w:r>
      <w:r>
        <w:t xml:space="preserve">(Sousa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w:t>
      </w:r>
      <w:r>
        <w:t xml:space="preserve"> </w:t>
      </w:r>
      <w:r>
        <w:t xml:space="preserve">(Kshetri, 2014a)</w:t>
      </w:r>
      <w:r>
        <w:t xml:space="preserve">.</w:t>
      </w:r>
    </w:p>
    <w:p>
      <w:pPr>
        <w:pStyle w:val="Corpodetexto"/>
      </w:pPr>
      <w:r>
        <w:t xml:space="preserve">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pPr>
        <w:pStyle w:val="Corpodetexto"/>
      </w:pPr>
      <w:r>
        <w:t xml:space="preserve">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adheres to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pPr>
        <w:pStyle w:val="Corpodetexto"/>
      </w:pP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Databases queried included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t xml:space="preserve">2.3.1 Weighted Scoring Algorithm</w:t>
      </w:r>
    </w:p>
    <w:p>
      <w:pPr>
        <w:pStyle w:val="FirstParagraph"/>
      </w:pPr>
      <w:r>
        <w:t xml:space="preserve">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{#eq:scoring}</w:t>
      </w:r>
    </w:p>
    <w:p>
      <w:pPr>
        <w:pStyle w:val="Corpodetexto"/>
      </w:pPr>
      <w:r>
        <w:t xml:space="preserve">where:</w:t>
      </w:r>
      <w:r>
        <w:br/>
      </w:r>
      <m:oMath>
        <m:sSub>
          <m:e>
            <m:r>
              <m:t>S</m:t>
            </m:r>
          </m:e>
          <m:sub>
            <m:r>
              <m:t>i</m:t>
            </m:r>
          </m:sub>
        </m:sSub>
      </m:oMath>
      <w:r>
        <w:t xml:space="preserve"> </w:t>
      </w:r>
      <w:r>
        <w:t xml:space="preserve">= total score of the article</w:t>
      </w:r>
      <w:r>
        <w:t xml:space="preserve"> </w:t>
      </w:r>
      <m:oMath>
        <m:r>
          <m:t>i</m:t>
        </m:r>
      </m:oMath>
      <w:r>
        <w:br/>
      </w:r>
      <m:oMath>
        <m:sSub>
          <m:e>
            <m:r>
              <m:t>w</m:t>
            </m:r>
          </m:e>
          <m:sub>
            <m:r>
              <m:t>j</m:t>
            </m:r>
          </m:sub>
        </m:sSub>
      </m:oMath>
      <w:r>
        <w:t xml:space="preserve"> </w:t>
      </w:r>
      <w:r>
        <w:t xml:space="preserve">= weight associated with term</w:t>
      </w:r>
      <w:r>
        <w:t xml:space="preserve"> </w:t>
      </w:r>
      <m:oMath>
        <m:r>
          <m:t>j</m:t>
        </m:r>
      </m:oMath>
      <w:r>
        <w:t xml:space="preserve"> </w:t>
      </w:r>
      <w:r>
        <w:t xml:space="preserve">(categorized into 5 levels: 5, 3, 2, 1, or −5/−3/−2 points)</w:t>
      </w:r>
      <w:r>
        <w:br/>
      </w:r>
      <m:oMath>
        <m:sSub>
          <m:e>
            <m:r>
              <m:t>l</m:t>
            </m:r>
          </m:e>
          <m:sub>
            <m:r>
              <m:t>i</m:t>
            </m:r>
          </m:sub>
        </m:sSub>
      </m:oMath>
      <w:r>
        <w:t xml:space="preserve"> </w:t>
      </w:r>
      <w:r>
        <w:t xml:space="preserve">= location multiplier (1.5 for title, 1.2 for keywords, 1.0 for abstract)</w:t>
      </w:r>
      <w:r>
        <w:br/>
      </w:r>
      <m:oMath>
        <m:sSub>
          <m:e>
            <m:r>
              <m:t>f</m:t>
            </m:r>
          </m:e>
          <m:sub>
            <m:r>
              <m:t>i</m:t>
            </m:r>
            <m:r>
              <m:t>j</m:t>
            </m:r>
          </m:sub>
        </m:sSub>
      </m:oMath>
      <w:r>
        <w:t xml:space="preserve"> </w:t>
      </w:r>
      <w:r>
        <w:t xml:space="preserve">= frequency of occurrence of term</w:t>
      </w:r>
      <w:r>
        <w:t xml:space="preserve"> </w:t>
      </w:r>
      <m:oMath>
        <m:r>
          <m:t>j</m:t>
        </m:r>
      </m:oMath>
      <w:r>
        <w:t xml:space="preserve"> </w:t>
      </w:r>
      <w:r>
        <w:t xml:space="preserve">in article</w:t>
      </w:r>
      <w:r>
        <w:t xml:space="preserve"> </w:t>
      </w:r>
      <m:oMath>
        <m:r>
          <m:t>i</m:t>
        </m:r>
      </m:oMath>
      <w:r>
        <w:br/>
      </w:r>
      <m:oMath>
        <m:r>
          <m:t>n</m:t>
        </m:r>
      </m:oMath>
      <w:r>
        <w:t xml:space="preserve"> </w:t>
      </w:r>
      <w:r>
        <w:t xml:space="preserve">= total number of terms evaluated</w:t>
      </w:r>
    </w:p>
    <w:p>
      <w:pPr>
        <w:pStyle w:val="Corpodetexto"/>
      </w:pP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t xml:space="preserve"> </w:t>
      </w:r>
      <w:r>
        <w:rPr>
          <w:i/>
          <w:iCs/>
        </w:rPr>
        <w:t xml:space="preserve">chemometrics, data mining</w:t>
      </w:r>
      <w:r>
        <w:t xml:space="preserve">), while context terms (1 point) indicate potential environments (e.g.,</w:t>
      </w:r>
      <w:r>
        <w:t xml:space="preserve"> </w:t>
      </w:r>
      <w:r>
        <w:rPr>
          <w:i/>
          <w:iCs/>
        </w:rPr>
        <w:t xml:space="preserve">regional products, certification</w:t>
      </w:r>
      <w:r>
        <w:t xml:space="preserve">). Exclusion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algorithm-implementation-and-validation"/>
    <w:p>
      <w:pPr>
        <w:pStyle w:val="Ttulo3"/>
      </w:pPr>
      <w: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t xml:space="preserve">2.3.3 Participatory Validation and Algorithm Refinement</w:t>
      </w:r>
    </w:p>
    <w:p>
      <w:pPr>
        <w:pStyle w:val="FirstParagraph"/>
      </w:pPr>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w:t>
      </w:r>
      <w:r>
        <w:t xml:space="preserve"> </w:t>
      </w:r>
      <w:r>
        <w:t xml:space="preserve">(</w:t>
      </w:r>
      <w:r>
        <w:t xml:space="preserve">Tricco, Lillie,</w:t>
      </w:r>
      <w:r>
        <w:t xml:space="preserve"> </w:t>
      </w:r>
      <w:r>
        <w:rPr>
          <w:i/>
          <w:iCs/>
        </w:rPr>
        <w:t xml:space="preserve">et al.</w:t>
      </w:r>
      <w:r>
        <w:t xml:space="preserve">, 2018)</w:t>
      </w:r>
      <w:r>
        <w:t xml:space="preserve">.</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t xml:space="preserve">2.3.4 Coverage Verification and Automated Categorization</w:t>
      </w:r>
    </w:p>
    <w:p>
      <w:pPr>
        <w:pStyle w:val="FirstParagraph"/>
      </w:pPr>
      <w:r>
        <w:t xml:space="preserve">An automated system validated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w:t>
      </w:r>
      <w:r>
        <w:t xml:space="preserve"> </w:t>
      </w:r>
      <w:r>
        <w:t xml:space="preserve">(Young, Luz and Lone, 2019; Casey</w:t>
      </w:r>
      <w:r>
        <w:t xml:space="preserve"> </w:t>
      </w:r>
      <w:r>
        <w:rPr>
          <w:i/>
          <w:iCs/>
        </w:rPr>
        <w:t xml:space="preserve">et al.</w:t>
      </w:r>
      <w:r>
        <w:t xml:space="preserve">, 2021)</w:t>
      </w:r>
      <w:r>
        <w:t xml:space="preserve">. References were classified into predefined methodological categories, including machine learning techniques and geographic information systems.</w:t>
      </w:r>
    </w:p>
    <w:p>
      <w:pPr>
        <w:pStyle w:val="Corpodetexto"/>
      </w:pPr>
      <w:r>
        <w:t xml:space="preserve">To gauge the comprehensiveness and adequacy of the studies, metrics of citation coverage and bibliographic utilization rates of the corpus were applied</w:t>
      </w:r>
      <w:r>
        <w:t xml:space="preserve"> </w:t>
      </w:r>
      <w:r>
        <w:t xml:space="preserve">(Webster and Watson, 2002; Tranfield, Denyer and Smart, 2003)</w:t>
      </w:r>
      <w:r>
        <w:t xml:space="preserve">. These metrics allow for a quantitative assessment of the utilization of the reference base, ensuring that the selected studies adequately reflect the thematic scope of the review.</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pPr>
        <w:pStyle w:val="Corpodetexto"/>
      </w:pP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w:t>
      </w:r>
      <w:r>
        <w:t xml:space="preserve"> </w:t>
      </w:r>
      <w:r>
        <w:t xml:space="preserve">(Surname and Surname, 2025)</w:t>
      </w:r>
      <w:r>
        <w:t xml:space="preserve">.</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w:t>
      </w:r>
      <w:r>
        <w:t xml:space="preserve"> </w:t>
      </w:r>
      <w:r>
        <w:t xml:space="preserve">Shrout and Fleiss (1979)</w:t>
      </w:r>
      <w:r>
        <w:t xml:space="preserve">, yielding a value of 0.87 (95% CI: 0.84–0.91), indicating good agreement.</w:t>
      </w:r>
    </w:p>
    <w:bookmarkEnd w:id="35"/>
    <w:bookmarkStart w:id="36" w:name="X038e4647e408e5b51afeb797a9d021cc0ddde9a"/>
    <w:p>
      <w:pPr>
        <w:pStyle w:val="Ttulo3"/>
      </w:pPr>
      <w: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w:t>
      </w:r>
      <w:r>
        <w:t xml:space="preserve"> </w:t>
      </w:r>
      <w:r>
        <w:t xml:space="preserve">(Lotka, 1926)</w:t>
      </w:r>
      <w:r>
        <w:t xml:space="preserve"> </w:t>
      </w:r>
      <w:r>
        <w:t xml:space="preserve">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w:r>
        <w:t xml:space="preserve">Pfinal=(0,40Qmet)+(0,35Qtem)+(0,25Qbiblio)</w:t>
      </w:r>
      <w:r>
        <w:br/>
      </w:r>
      <w:r>
        <w:t xml:space="preserve">Where:</w:t>
      </w:r>
      <w:r>
        <w:br/>
      </w:r>
      <w:r>
        <w:t xml:space="preserve">Pfinal = final selection score</w:t>
      </w:r>
      <w:r>
        <w:br/>
      </w:r>
      <w:r>
        <w:t xml:space="preserve">Qmet = normalized methodological quality (0-1)</w:t>
      </w:r>
      <w:r>
        <w:br/>
      </w:r>
      <w:r>
        <w:t xml:space="preserve">Qtem = normalized thematic relevance (0-1)</w:t>
      </w:r>
      <w:r>
        <w:br/>
      </w:r>
      <w:r>
        <w:t xml:space="preserve">Qbiblio =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underwent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t xml:space="preserve">2.7.1 Descriptive and Exploratory Analyses of the Corpus</w:t>
      </w:r>
    </w:p>
    <w:p>
      <w:pPr>
        <w:pStyle w:val="FirstParagraph"/>
      </w:pPr>
      <w:r>
        <w:t xml:space="preserve">Multiple Correspondence Analysis (MCA)</w:t>
      </w:r>
      <w:r>
        <w:t xml:space="preserve"> </w:t>
      </w:r>
      <w:r>
        <w:t xml:space="preserve">(L-¬, Josse and Husson, 2008; Greenacre, 2017)</w:t>
      </w:r>
      <w:r>
        <w:t xml:space="preserve"> </w:t>
      </w:r>
      <w:r>
        <w:t xml:space="preserve">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p>
    <w:p>
      <w:pPr>
        <w:pStyle w:val="Corpodetexto"/>
      </w:pPr>
      <w:r>
        <w:t xml:space="preserve">Network analysis</w:t>
      </w:r>
      <w:r>
        <w:t xml:space="preserve"> </w:t>
      </w:r>
      <w:r>
        <w:t xml:space="preserve">(Cs-írdi and Nepusz, 2006; Schoch, 2020)</w:t>
      </w:r>
      <w:r>
        <w:t xml:space="preserve"> </w:t>
      </w:r>
      <w:r>
        <w:t xml:space="preserve">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w:t>
      </w:r>
      <w:r>
        <w:t xml:space="preserve"> </w:t>
      </w:r>
      <w:r>
        <w:t xml:space="preserve">(Blondel</w:t>
      </w:r>
      <w:r>
        <w:t xml:space="preserve"> </w:t>
      </w:r>
      <w:r>
        <w:rPr>
          <w:i/>
          <w:iCs/>
        </w:rPr>
        <w:t xml:space="preserve">et al.</w:t>
      </w:r>
      <w:r>
        <w:t xml:space="preserve">, 2008)</w:t>
      </w:r>
      <w:r>
        <w:t xml:space="preserve"> </w:t>
      </w:r>
      <w:r>
        <w:t xml:space="preserve">to identify technological modules and patterns of specialization by product-instrument-algorithm. Time series (2010–2025) used Spearman’s correlation</w:t>
      </w:r>
      <w:r>
        <w:t xml:space="preserve"> </w:t>
      </w:r>
      <w:r>
        <w:t xml:space="preserve">(Spearman, 1904)</w:t>
      </w:r>
      <w:r>
        <w:t xml:space="preserve"> </w:t>
      </w:r>
      <w:r>
        <w:t xml:space="preserve">to detect trends in publication volume and algorithm adoption.</w:t>
      </w:r>
    </w:p>
    <w:bookmarkEnd w:id="40"/>
    <w:bookmarkStart w:id="41" w:name="Xace2b413987b6902dd691a8b99df1da0d46e424"/>
    <w:p>
      <w:pPr>
        <w:pStyle w:val="Ttulo3"/>
      </w:pPr>
      <w: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(n=70 ) were compared to conventional random partitioning (n=78 ), calculating the percentage degradation in performance between internal validation and external tests. Differences were evaluated using Mann-Whitney U</w:t>
      </w:r>
      <w:r>
        <w:t xml:space="preserve"> </w:t>
      </w:r>
      <w:r>
        <w:t xml:space="preserve">(Mann and Whitney, 1947)</w:t>
      </w:r>
      <w:r>
        <w:t xml:space="preserve">, with effect size quantified by Cohen’s d</w:t>
      </w:r>
      <w:r>
        <w:t xml:space="preserve"> </w:t>
      </w:r>
      <w:r>
        <w:t xml:space="preserve">(Cohen, 1988)</w:t>
      </w:r>
      <w:r>
        <w:t xml:space="preserve">: small (d=0,2 ), medium (d=0,5 ), or large (d=0,8 ) according to</w:t>
      </w:r>
      <w:r>
        <w:t xml:space="preserve"> </w:t>
      </w:r>
      <w:r>
        <w:t xml:space="preserve">Sawilowsky (2009)</w:t>
      </w:r>
      <w:r>
        <w:t xml:space="preserve">. Logistic regression</w:t>
      </w:r>
      <w:r>
        <w:t xml:space="preserve"> </w:t>
      </w:r>
      <w:r>
        <w:t xml:space="preserve">(Jr., Lemeshow and Sturdivant, 2013)</w:t>
      </w:r>
      <w:r>
        <w:t xml:space="preserve"> </w:t>
      </w:r>
      <w:r>
        <w:t xml:space="preserve">estimated the odds ratio of high-performance (acurácia 85%) as a function of spatial validation, controlling for algorithm and product, following</w:t>
      </w:r>
      <w:r>
        <w:t xml:space="preserve"> </w:t>
      </w:r>
      <w:r>
        <w:t xml:space="preserve">Kuhn and Johnson (2013)</w:t>
      </w:r>
      <w:r>
        <w:t xml:space="preserve">.</w:t>
      </w:r>
    </w:p>
    <w:p>
      <w:pPr>
        <w:pStyle w:val="Corpodetexto"/>
      </w:pP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(n=20 ) and without XAI (n=128 ) were evaluated by Student’s t-test (t )</w:t>
      </w:r>
      <w:r>
        <w:t xml:space="preserve"> </w:t>
      </w:r>
      <w:r>
        <w:t xml:space="preserve">(Student, 1908)</w:t>
      </w:r>
      <w:r>
        <w:t xml:space="preserve">, verifying normality via Shapiro-Wilk</w:t>
      </w:r>
      <w:r>
        <w:t xml:space="preserve"> </w:t>
      </w:r>
      <w:r>
        <w:t xml:space="preserve">(Shapiro and Wilk, 1965)</w:t>
      </w:r>
      <w:r>
        <w:t xml:space="preserve">. Computational overhead was compared using Mann-Whitney. Pareto analysis</w:t>
      </w:r>
      <w:r>
        <w:t xml:space="preserve"> </w:t>
      </w:r>
      <w:r>
        <w:t xml:space="preserve">(Pareto, 1896; Deb, 2001)</w:t>
      </w:r>
      <w:r>
        <w:t xml:space="preserve"> </w:t>
      </w:r>
      <w:r>
        <w:t xml:space="preserve">identified optimal algorithms under weighted utility function:U=0,4acurácia+0,4explicabilidade+0,2×(1-tempo normalizado) .</w:t>
      </w:r>
    </w:p>
    <w:p>
      <w:pPr>
        <w:pStyle w:val="Corpodetexto"/>
      </w:pPr>
      <w:r>
        <w:t xml:space="preserve">To assess the accuracy reported in the studies and detect potential publication bias, a random effects meta-analysis</w:t>
      </w:r>
      <w:r>
        <w:t xml:space="preserve"> </w:t>
      </w:r>
      <w:r>
        <w:t xml:space="preserve">(Borenstein</w:t>
      </w:r>
      <w:r>
        <w:t xml:space="preserve"> </w:t>
      </w:r>
      <w:r>
        <w:rPr>
          <w:i/>
          <w:iCs/>
        </w:rPr>
        <w:t xml:space="preserve">et al.</w:t>
      </w:r>
      <w:r>
        <w:t xml:space="preserve">, 2009)</w:t>
      </w:r>
      <w:r>
        <w:t xml:space="preserve"> </w:t>
      </w:r>
      <w:r>
        <w:t xml:space="preserve">was conducted using the metafor package</w:t>
      </w:r>
      <w:r>
        <w:t xml:space="preserve"> </w:t>
      </w:r>
      <w:r>
        <w:t xml:space="preserve">(Viechtbauer, 2010)</w:t>
      </w:r>
      <w:r>
        <w:t xml:space="preserve">, transforming accuracies via logit to stabilize variances</w:t>
      </w:r>
      <w:r>
        <w:t xml:space="preserve"> </w:t>
      </w:r>
      <w:r>
        <w:t xml:space="preserve">(Barendregt</w:t>
      </w:r>
      <w:r>
        <w:t xml:space="preserve"> </w:t>
      </w:r>
      <w:r>
        <w:rPr>
          <w:i/>
          <w:iCs/>
        </w:rPr>
        <w:t xml:space="preserve">et al.</w:t>
      </w:r>
      <w:r>
        <w:t xml:space="preserve">, 2013)</w:t>
      </w:r>
      <w:r>
        <w:t xml:space="preserve">:logit(p)=ln[p/(1-p)] . Pooled accuracy was estimated by the REML model</w:t>
      </w:r>
      <w:r>
        <w:t xml:space="preserve"> </w:t>
      </w:r>
      <w:r>
        <w:t xml:space="preserve">(DerSimonian and Laird, 1986)</w:t>
      </w:r>
      <w:r>
        <w:t xml:space="preserve"> </w:t>
      </w:r>
      <w:r>
        <w:t xml:space="preserve">with 95% CI. Heterogeneity was quantified by theI2 statistic</w:t>
      </w:r>
      <w:r>
        <w:t xml:space="preserve"> </w:t>
      </w:r>
      <w:r>
        <w:t xml:space="preserve">(Higgins</w:t>
      </w:r>
      <w:r>
        <w:t xml:space="preserve"> </w:t>
      </w:r>
      <w:r>
        <w:rPr>
          <w:i/>
          <w:iCs/>
        </w:rPr>
        <w:t xml:space="preserve">et al.</w:t>
      </w:r>
      <w:r>
        <w:t xml:space="preserve">, 2003)</w:t>
      </w:r>
      <w:r>
        <w:t xml:space="preserve">: low (&lt;25% ), moderate (25% –75% ), or high (&gt;75% ). Cochran’s Q test</w:t>
      </w:r>
      <w:r>
        <w:t xml:space="preserve"> </w:t>
      </w:r>
      <w:r>
        <w:t xml:space="preserve">(Cochran, 1954)</w:t>
      </w:r>
      <w:r>
        <w:t xml:space="preserve"> </w:t>
      </w:r>
      <w:r>
        <w:t xml:space="preserve">assessed the significance of heterogeneity (=0,05 ). Meta-regression</w:t>
      </w:r>
      <w:r>
        <w:t xml:space="preserve"> </w:t>
      </w:r>
      <w:r>
        <w:t xml:space="preserve">(Thompson and Higgins, 2002)</w:t>
      </w:r>
      <w:r>
        <w:t xml:space="preserve"> </w:t>
      </w:r>
      <w:r>
        <w:t xml:space="preserve">investigated the effects of year of publication and sample size. Publication bias was detected by Egger’s test</w:t>
      </w:r>
      <w:r>
        <w:t xml:space="preserve"> </w:t>
      </w:r>
      <w:r>
        <w:t xml:space="preserve">(Egger</w:t>
      </w:r>
      <w:r>
        <w:t xml:space="preserve"> </w:t>
      </w:r>
      <w:r>
        <w:rPr>
          <w:i/>
          <w:iCs/>
        </w:rPr>
        <w:t xml:space="preserve">et al.</w:t>
      </w:r>
      <w:r>
        <w:t xml:space="preserve">, 1997)</w:t>
      </w:r>
      <w:r>
        <w:t xml:space="preserve"> </w:t>
      </w:r>
      <w:r>
        <w:t xml:space="preserve">and the trim-and-fill method</w:t>
      </w:r>
      <w:r>
        <w:t xml:space="preserve"> </w:t>
      </w:r>
      <w:r>
        <w:t xml:space="preserve">(Duval and Tweedie, 2000)</w:t>
      </w:r>
      <w:r>
        <w:t xml:space="preserve">. Stratified forest plots were generated following</w:t>
      </w:r>
      <w:r>
        <w:t xml:space="preserve"> </w:t>
      </w:r>
      <w:r>
        <w:t xml:space="preserve">Balduzzi, Rücker and Schwarzer (2019)</w:t>
      </w:r>
      <w:r>
        <w:t xml:space="preserve">.</w:t>
      </w:r>
    </w:p>
    <w:p>
      <w:pPr>
        <w:pStyle w:val="Corpodetexto"/>
      </w:pPr>
      <w:r>
        <w:t xml:space="preserve">Finally, to assess compliance with open data governance principles, FAIR compliance was quantified using a standardized score (0–100 points) based on 12 binary indicators from</w:t>
      </w:r>
      <w:r>
        <w:t xml:space="preserve"> </w:t>
      </w:r>
      <w:r>
        <w:t xml:space="preserve">Wilkinson</w:t>
      </w:r>
      <w:r>
        <w:t xml:space="preserve"> </w:t>
      </w:r>
      <w:r>
        <w:rPr>
          <w:i/>
          <w:iCs/>
        </w:rPr>
        <w:t xml:space="preserve">et al.</w:t>
      </w:r>
      <w:r>
        <w:t xml:space="preserve"> </w:t>
      </w:r>
      <w:r>
        <w:t xml:space="preserve">(2016)</w:t>
      </w:r>
      <w:r>
        <w:t xml:space="preserve">: DOI (F1), rich metadata (F2), public repository (A1), access protocol (A2), license (R1.1), source code (R1.2), interoperable format (I1), controlled vocabulary (I2), provenance (R1.3), community standard (I3), accessible API (A1.1), and versioning (R1.2). Each indicator contributed t100/128,33 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w:t>
      </w:r>
      <w:r>
        <w:t xml:space="preserve"> </w:t>
      </w:r>
      <w:r>
        <w:t xml:space="preserve">(European Commission, 2018)</w:t>
      </w:r>
      <w:r>
        <w:t xml:space="preserve">.</w:t>
      </w:r>
    </w:p>
    <w:p>
      <w:pPr>
        <w:pStyle w:val="Corpodetexto"/>
      </w:pPr>
      <w:r>
        <w:t xml:space="preserve">All analyses were implemented in R</w:t>
      </w:r>
      <w:r>
        <w:t xml:space="preserve"> </w:t>
      </w:r>
      <w:r>
        <w:t xml:space="preserve">(Team, 2024)</w:t>
      </w:r>
      <w:r>
        <w:t xml:space="preserve"> </w:t>
      </w:r>
      <w:r>
        <w:t xml:space="preserve">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w:t>
      </w:r>
      <w:r>
        <w:t xml:space="preserve"> </w:t>
      </w:r>
      <w:r>
        <w:t xml:space="preserve">(Bonferroni, 1936)</w:t>
      </w:r>
      <w:r>
        <w:t xml:space="preserve"> </w:t>
      </w:r>
      <w:r>
        <w:t xml:space="preserve">when relevant for multiple comparisons. Codes and processed data were deposited in the OSF repository (DOI: 10.17605/OSF.IO/2EKYQ) to ensure reproducibility</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w:t>
      </w:r>
      <w:r>
        <w:t xml:space="preserve"> </w:t>
      </w:r>
      <w:r>
        <w:t xml:space="preserve">(Ofori-Boateng</w:t>
      </w:r>
      <w:r>
        <w:t xml:space="preserve"> </w:t>
      </w:r>
      <w:r>
        <w:rPr>
          <w:i/>
          <w:iCs/>
        </w:rPr>
        <w:t xml:space="preserve">et al.</w:t>
      </w:r>
      <w:r>
        <w:t xml:space="preserve">, 2024)</w:t>
      </w:r>
      <w:r>
        <w:t xml:space="preserve">.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w:t>
      </w:r>
      <w:r>
        <w:t xml:space="preserve"> </w:t>
      </w:r>
      <w:r>
        <w:t xml:space="preserve">(Streiner and Norman, 2008)</w:t>
      </w:r>
      <w:r>
        <w:t xml:space="preserve">. This validation confirms that the studies selected for the synthesis meet rigorous methodological standards.</w:t>
      </w:r>
    </w:p>
    <w:bookmarkEnd w:id="47"/>
    <w:bookmarkEnd w:id="48"/>
    <w:bookmarkEnd w:id="49"/>
    <w:bookmarkStart w:id="264"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w:t>
      </w:r>
      <w:r>
        <w:t xml:space="preserve"> </w:t>
      </w:r>
      <w:r>
        <w:t xml:space="preserve">(Xu</w:t>
      </w:r>
      <w:r>
        <w:t xml:space="preserve"> </w:t>
      </w:r>
      <w:r>
        <w:rPr>
          <w:i/>
          <w:iCs/>
        </w:rPr>
        <w:t xml:space="preserve">et al.</w:t>
      </w:r>
      <w:r>
        <w:t xml:space="preserve">, 2021; Mohammadi, Esteki and Simal-Gandara, 2024)</w:t>
      </w:r>
      <w:r>
        <w:t xml:space="preserve">.</w:t>
      </w:r>
      <w:r>
        <w:br/>
      </w:r>
      <w:r>
        <w:t xml:space="preserve">The prevalence of supervised architectures over unsupervised methods reflects the availability of labeled datasets and the pressure for quantifiable accuracy metrics, as documented by</w:t>
      </w:r>
      <w:r>
        <w:t xml:space="preserve"> </w:t>
      </w:r>
      <w:r>
        <w:t xml:space="preserve">Liakos</w:t>
      </w:r>
      <w:r>
        <w:t xml:space="preserve"> </w:t>
      </w:r>
      <w:r>
        <w:rPr>
          <w:i/>
          <w:iCs/>
        </w:rPr>
        <w:t xml:space="preserve">et al.</w:t>
      </w:r>
      <w:r>
        <w:t xml:space="preserve"> </w:t>
      </w:r>
      <w:r>
        <w:t xml:space="preserve">(2018)</w:t>
      </w:r>
      <w:r>
        <w:t xml:space="preserve"> </w:t>
      </w:r>
      <w:r>
        <w:t xml:space="preserve">in an analysis of Machine Learning trends in precision agriculture. Convolutional neural networks have become established specifically for hyperspectral data processing, while PLS-DA has remained relevant in chemometric preprocessing</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establishing an instrumental paradigm that favors high value-added products (wines, olive oils) over complex food matrices.</w:t>
      </w:r>
    </w:p>
    <w:p>
      <w:pPr>
        <w:pStyle w:val="Corpodetexto"/>
      </w:pPr>
      <w:r>
        <w:t xml:space="preserve">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w:t>
      </w:r>
      <w:r>
        <w:t xml:space="preserve"> </w:t>
      </w:r>
      <w:r>
        <w:t xml:space="preserve">(Belletti, Marescotti and Touzard, 2017)</w:t>
      </w:r>
      <w:r>
        <w:t xml:space="preserve">.</w:t>
      </w:r>
    </w:p>
    <w:p>
      <w:pPr>
        <w:pStyle w:val="Corpodetexto"/>
      </w:pPr>
      <w:r>
        <w:t xml:space="preserve">Temporal analysis suggests a positive correlation between academic production and algorithmic complexity (Spearman’s = 0.89;p&lt;0,001 ),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w:t>
      </w:r>
      <w:r>
        <w:t xml:space="preserve"> </w:t>
      </w:r>
      <w:r>
        <w:t xml:space="preserve">(Iranzad and Liu, 2025)</w:t>
      </w:r>
      <w:r>
        <w:t xml:space="preserve">.</w:t>
      </w:r>
    </w:p>
    <w:p>
      <w:pPr>
        <w:pStyle w:val="Corpodetexto"/>
      </w:pPr>
      <w:r>
        <w:t xml:space="preserve">Concerning spatial robustness, only 23% of the studies applied geographically independent validation, with accuracy decreases between 2% and 15% when the models are exposed to new data sets</w:t>
      </w:r>
      <w:r>
        <w:t xml:space="preserve"> </w:t>
      </w:r>
      <w:r>
        <w:t xml:space="preserve">(Effrosynidis and Arampatzis, 2021)</w:t>
      </w:r>
      <w:r>
        <w:t xml:space="preserve">. These results corroborate the hypothesis of overfitting to local contexts, as discussed by</w:t>
      </w:r>
      <w:r>
        <w:t xml:space="preserve"> </w:t>
      </w:r>
      <w:r>
        <w:t xml:space="preserve">Kuhn and Johnson (2013)</w:t>
      </w:r>
      <w:r>
        <w:t xml:space="preserve">. The scarcity of explainability metrics (XAI), present in only 14% of studies, further impedes compliance with regulatory auditability requirements, since black-box models do not offer the decision traceability required by certification bodies</w:t>
      </w:r>
      <w:r>
        <w:t xml:space="preserve"> </w:t>
      </w:r>
      <w:r>
        <w:t xml:space="preserve">(Lundberg and Lee, 2017)</w:t>
      </w:r>
      <w:r>
        <w:t xml:space="preserve">.</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Concurrently,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w:t>
      </w:r>
      <w:r>
        <w:t xml:space="preserve"> </w:t>
      </w:r>
      <w:r>
        <w:t xml:space="preserve">“oracles”</w:t>
      </w:r>
      <w:r>
        <w:t xml:space="preserve"> </w:t>
      </w:r>
      <w:r>
        <w:t xml:space="preserve">(sensors or predictive models), whose technical interoperability is still in its infancy</w:t>
      </w:r>
      <w:r>
        <w:t xml:space="preserve"> </w:t>
      </w:r>
      <w:r>
        <w:t xml:space="preserve">(Wang</w:t>
      </w:r>
      <w:r>
        <w:t xml:space="preserve"> </w:t>
      </w:r>
      <w:r>
        <w:rPr>
          <w:i/>
          <w:iCs/>
        </w:rPr>
        <w:t xml:space="preserve">et al.</w:t>
      </w:r>
      <w:r>
        <w:t xml:space="preserve">, 2025)</w:t>
      </w:r>
      <w:r>
        <w:t xml:space="preserve">.</w:t>
      </w:r>
    </w:p>
    <w:p>
      <w:pPr>
        <w:pStyle w:val="Corpodetexto"/>
      </w:pPr>
      <w:r>
        <w:t xml:space="preserve">Network analysis corroborates the formation of distinct methodological clusters (modularityQ=0,62 ),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(ρ = 0.615, p = 0.011), indicating systematic expansion after 2020</w:t>
      </w:r>
      <w:r>
        <w:t xml:space="preserve"> </w:t>
      </w:r>
      <w:r>
        <w:t xml:space="preserve">(Liakos</w:t>
      </w:r>
      <w:r>
        <w:t xml:space="preserve"> </w:t>
      </w:r>
      <w:r>
        <w:rPr>
          <w:i/>
          <w:iCs/>
        </w:rPr>
        <w:t xml:space="preserve">et al.</w:t>
      </w:r>
      <w:r>
        <w:t xml:space="preserve">, 2018)</w:t>
      </w:r>
      <w:r>
        <w:t xml:space="preserve">.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w:t>
      </w:r>
      <w:r>
        <w:t xml:space="preserve"> </w:t>
      </w:r>
      <w:r>
        <w:t xml:space="preserve">(Lavine and Workman, 2005)</w:t>
      </w:r>
      <w:r>
        <w:t xml:space="preserve">. Temporal correlation analysis showed significant changes for SVM (ρ = 0.788, p &lt; 0.001) and Random Forest (ρ = 0.677, p = 0.004).</w:t>
      </w:r>
    </w:p>
    <w:p>
      <w:pPr>
        <w:pStyle w:val="Corpodetexto"/>
      </w:pPr>
      <w:r>
        <w:t xml:space="preserve">Neural Networks were the most widely adopted technique in 2020–2025 (33 applications), followed by SVM (32) and Random Forest (21). Deep Learning and CNNs spread after 2022 specifically for hyperspectral data processing</w:t>
      </w:r>
      <w:r>
        <w:t xml:space="preserve"> </w:t>
      </w:r>
      <w:r>
        <w:t xml:space="preserve">(Shah</w:t>
      </w:r>
      <w:r>
        <w:t xml:space="preserve"> </w:t>
      </w:r>
      <w:r>
        <w:rPr>
          <w:i/>
          <w:iCs/>
        </w:rPr>
        <w:t xml:space="preserve">et al.</w:t>
      </w:r>
      <w:r>
        <w:t xml:space="preserve">, 2019)</w:t>
      </w:r>
      <w:r>
        <w:t xml:space="preserve">,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This pattern stems from the cumulative sedimentation of protocols and publication routines, not from casual preferences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Co-occurrence networks reveal parameter retention in stable triads (Wines–Random Forest–NIR; Teas–SVM–GC-MS) with low exploratory entropy, blocking cross-inferential reuse</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In the Louvain community graph (Figure 4), modularity (Q=0,62 ) and internal densities (0.53–0.68) indicate intra-module coherence but an absence of intermediary nodes (high betweenness) capable of acting as bridges.</w:t>
      </w:r>
    </w:p>
    <w:p>
      <w:pPr>
        <w:pStyle w:val="Corpodetexto"/>
      </w:pPr>
      <w:r>
        <w:t xml:space="preserve">High-grade spectroscopic algorithms display high eigenvector centrality, concentrating information flow, while chromatographic techniques form a peripheral module with low cross-connectivity</w:t>
      </w:r>
      <w:r>
        <w:t xml:space="preserve"> </w:t>
      </w:r>
      <w:r>
        <w:t xml:space="preserve">(World Bank, 2014)</w:t>
      </w:r>
      <w:r>
        <w:t xml:space="preserve">.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w:t>
      </w:r>
      <w:r>
        <w:t xml:space="preserve"> </w:t>
      </w:r>
      <w:r>
        <w:t xml:space="preserve">(Kawano</w:t>
      </w:r>
      <w:r>
        <w:t xml:space="preserve"> </w:t>
      </w:r>
      <w:r>
        <w:rPr>
          <w:i/>
          <w:iCs/>
        </w:rPr>
        <w:t xml:space="preserve">et al.</w:t>
      </w:r>
      <w:r>
        <w:t xml:space="preserve">, 2021)</w:t>
      </w:r>
      <w:r>
        <w:t xml:space="preserve">.</w:t>
      </w:r>
    </w:p>
    <w:p>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w:t>
      </w:r>
      <w:r>
        <w:t xml:space="preserve"> </w:t>
      </w:r>
      <w:r>
        <w:t xml:space="preserve">(Effrosynidis and Arampatzis, 2021; Meena, Chakraborty and Mitra, 2024)</w:t>
      </w:r>
      <w:r>
        <w:t xml:space="preserve"> </w:t>
      </w:r>
      <w:r>
        <w:t xml:space="preserve">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t xml:space="preserve">Q=0,62</w:t>
      </w:r>
      <w:r>
        <w:t xml:space="preserve"> </w:t>
      </w:r>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(U=2900,p&lt;0,001,d=0,948 ),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w:r>
        <w:t xml:space="preserve">p&lt;0,001 ,d=0,948 ). The dashed line indicates the acceptable degradation threshold (≤8%) proposed for Digital Terroir certification systems.n=148 studies.</w:t>
      </w:r>
    </w:p>
    <w:p>
      <w:pPr>
        <w:pStyle w:val="Corpodetexto"/>
      </w:pPr>
      <w:r>
        <w:t xml:space="preserve">Regarding transparency, only 13.5% of the studies adopted Explainable Artificial Intelligence (XAI) techniques. A moderate negative correlation was observed between explainability and accuracy (=-0,481,p&lt;0,001 ),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w:r>
        <w:t xml:space="preserve">=-0,481 ,p&lt;0,001 ), but the absolute cost is modest (~1.5 percentage points). XGBoost stands out as the algorithm with the best multi-criteria balance (Pareto score = 0.650, considering 93% accuracy, 6/10 explainability, and 12 min time).n=148 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(z=40,02,p&lt;0,001 ).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w:r>
        <w:t xml:space="preserve">I2=58% ) indicates substantial methodological variability between studies. Confidence intervals represent estimates of random effects (REML model).k=129 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(=0,235,p=0,379 ),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(U=2900, p&lt;0.001, d=0.948).</w:t>
      </w:r>
      <w:r>
        <w:br/>
      </w:r>
      <w:r>
        <w:t xml:space="preserve">This methodological flaw, driven by residual spatial autocorrelation, hinders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w:t>
      </w:r>
      <w:r>
        <w:t xml:space="preserve"> </w:t>
      </w:r>
      <w:r>
        <w:t xml:space="preserve">(Kuhn and Johnson, 2013; Wadoux</w:t>
      </w:r>
      <w:r>
        <w:t xml:space="preserve"> </w:t>
      </w:r>
      <w:r>
        <w:rPr>
          <w:i/>
          <w:iCs/>
        </w:rPr>
        <w:t xml:space="preserve">et al.</w:t>
      </w:r>
      <w:r>
        <w:t xml:space="preserve">, 2021)</w:t>
      </w:r>
      <w:r>
        <w:t xml:space="preserve">.</w:t>
      </w:r>
    </w:p>
    <w:p>
      <w:pPr>
        <w:pStyle w:val="Corpodetexto"/>
      </w:pPr>
      <w:r>
        <w:t xml:space="preserve">Simultaneously, regulatory auditability is compromised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(p=0,218 ), with the XGBoost algorithm emerging as the optimal solution (Pareto score=0,650 )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Technological maturity is further distorted by publication bias. Correction via the trim-and-fill method, with the imputation of 42 missing studies ( ) (z=40,02 ), reduced pooled accuracy from ~91% to ~88%, revealing that the literature systematically overestimates the discriminative capacity of the models. This metric inflation, coupled with moderate methodological heterogeneity (I2=58% ), compromises risk calibration and aligns with the reproducibility crisis diagnosed by</w:t>
      </w:r>
      <w:r>
        <w:t xml:space="preserve"> </w:t>
      </w:r>
      <w:r>
        <w:t xml:space="preserve">Kapoor and Narayanan (2023)</w:t>
      </w:r>
      <w:r>
        <w:t xml:space="preserve">, where data leakage masks the true effectiveness of the tools.</w:t>
      </w:r>
    </w:p>
    <w:p>
      <w:pPr>
        <w:pStyle w:val="Corpodetexto"/>
      </w:pPr>
      <w:r>
        <w:t xml:space="preserve">Ultimately, the erosion of data governance perpetuates fundamental epistemic asymmetries. With a critical FAIR score of 34.2/100 and temporal stagnation in data openness (=0,235 ,p=0,379 ),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rectify these deficiencies and operationalize the Digital Terroir, we propose the mandatory adoption of Compliance Thresholds that require spatial post-validation accuracy85% and maximum external degradation8%</w:t>
      </w:r>
      <w:r>
        <w:t xml:space="preserve"> </w:t>
      </w:r>
      <w:r>
        <w:t xml:space="preserve">(</w:t>
      </w:r>
      <w:r>
        <w:t xml:space="preserve">Etten</w:t>
      </w:r>
      <w:r>
        <w:t xml:space="preserve"> </w:t>
      </w:r>
      <w:r>
        <w:rPr>
          <w:i/>
          <w:iCs/>
        </w:rPr>
        <w:t xml:space="preserve">et al.</w:t>
      </w:r>
      <w:r>
        <w:t xml:space="preserve">, 2023)</w:t>
      </w:r>
      <w:r>
        <w:t xml:space="preserve">, simultaneously conditioned on mandatory XAI explainability for critical territorial markers and FAIR compliance60/100 with deposition in interoperable repositories</w:t>
      </w:r>
      <w:r>
        <w:t xml:space="preserve"> </w:t>
      </w:r>
      <w:r>
        <w:t xml:space="preserve">(</w:t>
      </w:r>
      <w:r>
        <w:t xml:space="preserve">Wilkinson</w:t>
      </w:r>
      <w:r>
        <w:t xml:space="preserve"> </w:t>
      </w:r>
      <w:r>
        <w:rPr>
          <w:i/>
          <w:iCs/>
        </w:rPr>
        <w:t xml:space="preserve">et al.</w:t>
      </w:r>
      <w:r>
        <w:t xml:space="preserve">, 2016)</w:t>
      </w:r>
      <w:r>
        <w:t xml:space="preserve">.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w:t>
      </w:r>
      <w:r>
        <w:t xml:space="preserve"> </w:t>
      </w:r>
      <w:r>
        <w:t xml:space="preserve">(World Bank, 2014; An</w:t>
      </w:r>
      <w:r>
        <w:t xml:space="preserve"> </w:t>
      </w:r>
      <w:r>
        <w:rPr>
          <w:i/>
          <w:iCs/>
        </w:rPr>
        <w:t xml:space="preserve">et al.</w:t>
      </w:r>
      <w:r>
        <w:t xml:space="preserve">, 2024)</w:t>
      </w:r>
      <w:r>
        <w:t xml:space="preserve">.</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w:t>
      </w:r>
      <w:r>
        <w:t xml:space="preserve"> </w:t>
      </w:r>
      <w:r>
        <w:t xml:space="preserve">(Moran and Tichava, 2020)</w:t>
      </w:r>
      <w:r>
        <w:t xml:space="preserve">.</w:t>
      </w:r>
      <w:r>
        <w:br/>
      </w:r>
      <w:r>
        <w:t xml:space="preserve">This methodological omission precludes the capture of phenotypic plasticity, where the chemical expression of plants varies naturally in response to environmental fluctuations, compromising the causality of terroir</w:t>
      </w:r>
      <w:r>
        <w:t xml:space="preserve"> </w:t>
      </w:r>
      <w:r>
        <w:t xml:space="preserve">(Fournier-Level and Korte, 2022)</w:t>
      </w:r>
      <w:r>
        <w:t xml:space="preserve">. According to</w:t>
      </w:r>
      <w:r>
        <w:t xml:space="preserve"> </w:t>
      </w:r>
      <w:r>
        <w:t xml:space="preserve">Kuhn and Johnson (2013)</w:t>
      </w:r>
      <w:r>
        <w:t xml:space="preserve">, this flaw invalidates continuous auditing, as algorithms fail to operate as Inference Digital Twins under climatic dynamics. Consequently, dynamic Digital Terroir emerges as a solution, reconstructing systemic couplings between soil, climate, and biota.</w:t>
      </w:r>
    </w:p>
    <w:p>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w:t>
      </w:r>
      <w:r>
        <w:t xml:space="preserve"> </w:t>
      </w:r>
      <w:r>
        <w:t xml:space="preserve">(Urvieta</w:t>
      </w:r>
      <w:r>
        <w:t xml:space="preserve"> </w:t>
      </w:r>
      <w:r>
        <w:rPr>
          <w:i/>
          <w:iCs/>
        </w:rPr>
        <w:t xml:space="preserve">et al.</w:t>
      </w:r>
      <w:r>
        <w:t xml:space="preserve">, 2021; Iranzad and Liu, 2025)</w:t>
      </w:r>
      <w:r>
        <w:t xml:space="preserve">. By disregarding the nonlinearity and dynamic couplings between climate, soil, and biota, current systems degrade into static classifiers, unable to operate as Inferential Digital Twins in climate change scenarios</w:t>
      </w:r>
      <w:r>
        <w:t xml:space="preserve"> </w:t>
      </w:r>
      <w:r>
        <w:t xml:space="preserve">(Kuhn and Johnson, 2013; Celette, Findeling and Gary, 2016)</w:t>
      </w:r>
      <w:r>
        <w:t xml:space="preserve">.</w:t>
      </w:r>
    </w:p>
    <w:p>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w:t>
      </w:r>
      <w:r>
        <w:t xml:space="preserve"> </w:t>
      </w:r>
      <w:r>
        <w:t xml:space="preserve">(</w:t>
      </w:r>
      <w:r>
        <w:t xml:space="preserve">Wilkinson</w:t>
      </w:r>
      <w:r>
        <w:t xml:space="preserve"> </w:t>
      </w:r>
      <w:r>
        <w:rPr>
          <w:i/>
          <w:iCs/>
        </w:rPr>
        <w:t xml:space="preserve">et al.</w:t>
      </w:r>
      <w:r>
        <w:t xml:space="preserve">, 2016)</w:t>
      </w:r>
      <w:r>
        <w:t xml:space="preserve">.</w:t>
      </w:r>
    </w:p>
    <w:p>
      <w:pPr>
        <w:pStyle w:val="Corpodetexto"/>
      </w:pPr>
      <w:r>
        <w:t xml:space="preserve">Operationalizing Digital Terroir relies not on increasing accuracy, but in restructuring data governance to transform Geographical Indications from static labels into dynamic certificates of ecosystem services.</w:t>
      </w:r>
      <w:r>
        <w:t xml:space="preserve"> </w:t>
      </w:r>
      <w:r>
        <w:t xml:space="preserve">Rodriguez, Silva and Chen (2023)</w:t>
      </w:r>
      <w:r>
        <w:t xml:space="preserve"> </w:t>
      </w:r>
      <w:r>
        <w:t xml:space="preserve">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w:t>
      </w:r>
      <w:r>
        <w:t xml:space="preserve"> </w:t>
      </w:r>
      <w:r>
        <w:t xml:space="preserve">Osco</w:t>
      </w:r>
      <w:r>
        <w:t xml:space="preserve"> </w:t>
      </w:r>
      <w:r>
        <w:rPr>
          <w:i/>
          <w:iCs/>
        </w:rPr>
        <w:t xml:space="preserve">et al.</w:t>
      </w:r>
      <w:r>
        <w:t xml:space="preserve"> </w:t>
      </w:r>
      <w:r>
        <w:t xml:space="preserve">(2021)</w:t>
      </w:r>
      <w:r>
        <w:t xml:space="preserve">,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263" w:name="references"/>
    <w:p>
      <w:pPr>
        <w:pStyle w:val="Ttulo2"/>
      </w:pPr>
      <w:r>
        <w:t xml:space="preserve">References</w:t>
      </w:r>
    </w:p>
    <w:bookmarkStart w:id="262" w:name="refs"/>
    <w:bookmarkStart w:id="86"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 </w:t>
      </w:r>
      <w:r>
        <w:rPr>
          <w:i/>
          <w:iCs/>
        </w:rPr>
        <w:t xml:space="preserve">Foods</w:t>
      </w:r>
      <w:r>
        <w:t xml:space="preserve">, 12(14), p. 2813. Available at:</w:t>
      </w:r>
      <w:r>
        <w:t xml:space="preserve"> </w:t>
      </w:r>
      <w:hyperlink r:id="rId85">
        <w:r>
          <w:rPr>
            <w:rStyle w:val="Hyperlink"/>
          </w:rPr>
          <w:t xml:space="preserve">https://doi.org/10.3390/foods12142813</w:t>
        </w:r>
      </w:hyperlink>
      <w:r>
        <w:t xml:space="preserve">.</w:t>
      </w:r>
    </w:p>
    <w:bookmarkEnd w:id="86"/>
    <w:bookmarkStart w:id="88"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 </w:t>
      </w:r>
      <w:r>
        <w:rPr>
          <w:i/>
          <w:iCs/>
        </w:rPr>
        <w:t xml:space="preserve">Science of The Total Environment</w:t>
      </w:r>
      <w:r>
        <w:t xml:space="preserve">, 912, p. 169139. Available at:</w:t>
      </w:r>
      <w:r>
        <w:t xml:space="preserve"> </w:t>
      </w:r>
      <w:hyperlink r:id="rId87">
        <w:r>
          <w:rPr>
            <w:rStyle w:val="Hyperlink"/>
          </w:rPr>
          <w:t xml:space="preserve">https://doi.org/10.1016/j.scitotenv.2023.169139</w:t>
        </w:r>
      </w:hyperlink>
      <w:r>
        <w:t xml:space="preserve">.</w:t>
      </w:r>
    </w:p>
    <w:bookmarkEnd w:id="88"/>
    <w:bookmarkStart w:id="90" w:name="ref-Balduzzi2019"/>
    <w:p>
      <w:pPr>
        <w:pStyle w:val="Bibliografia"/>
      </w:pPr>
      <w:r>
        <w:t xml:space="preserve">Balduzzi, S., Rücker, G. and Schwarzer, G. (2019)</w:t>
      </w:r>
      <w:r>
        <w:t xml:space="preserve"> </w:t>
      </w:r>
      <w:r>
        <w:t xml:space="preserve">“How to perform a meta-analysis with r: A practical tutorial,”</w:t>
      </w:r>
      <w:r>
        <w:t xml:space="preserve"> </w:t>
      </w:r>
      <w:r>
        <w:rPr>
          <w:i/>
          <w:iCs/>
        </w:rPr>
        <w:t xml:space="preserve">BMJ Mental Health</w:t>
      </w:r>
      <w:r>
        <w:t xml:space="preserve">, 22(4), pp. 153–160. Available at:</w:t>
      </w:r>
      <w:r>
        <w:t xml:space="preserve"> </w:t>
      </w:r>
      <w:hyperlink r:id="rId89">
        <w:r>
          <w:rPr>
            <w:rStyle w:val="Hyperlink"/>
          </w:rPr>
          <w:t xml:space="preserve">https://doi.org/10.1136/ebmental-2019-300117</w:t>
        </w:r>
      </w:hyperlink>
      <w:r>
        <w:t xml:space="preserve">.</w:t>
      </w:r>
    </w:p>
    <w:bookmarkEnd w:id="90"/>
    <w:bookmarkStart w:id="92"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 </w:t>
      </w:r>
      <w:r>
        <w:rPr>
          <w:i/>
          <w:iCs/>
        </w:rPr>
        <w:t xml:space="preserve">Journal of Epidemiology and Community Health</w:t>
      </w:r>
      <w:r>
        <w:t xml:space="preserve">, 67(11), pp. 974–978. Available at:</w:t>
      </w:r>
      <w:r>
        <w:t xml:space="preserve"> </w:t>
      </w:r>
      <w:hyperlink r:id="rId91">
        <w:r>
          <w:rPr>
            <w:rStyle w:val="Hyperlink"/>
          </w:rPr>
          <w:t xml:space="preserve">https://doi.org/10.1136/jech-2013-203104</w:t>
        </w:r>
      </w:hyperlink>
      <w:r>
        <w:t xml:space="preserve">.</w:t>
      </w:r>
    </w:p>
    <w:bookmarkEnd w:id="92"/>
    <w:bookmarkStart w:id="94" w:name="ref-Belletti2017"/>
    <w:p>
      <w:pPr>
        <w:pStyle w:val="Bibliografia"/>
      </w:pPr>
      <w:r>
        <w:t xml:space="preserve">Belletti, G., Marescotti, A. and Touzard, J.-M. (2017)</w:t>
      </w:r>
      <w:r>
        <w:t xml:space="preserve"> </w:t>
      </w:r>
      <w:r>
        <w:t xml:space="preserve">“Geographical indications, public goods, and sustainable development: The roles of actors’ strategies and public policies,”</w:t>
      </w:r>
      <w:r>
        <w:t xml:space="preserve"> </w:t>
      </w:r>
      <w:r>
        <w:rPr>
          <w:i/>
          <w:iCs/>
        </w:rPr>
        <w:t xml:space="preserve">World Development</w:t>
      </w:r>
      <w:r>
        <w:t xml:space="preserve">, 98, pp. 45–57. Available at:</w:t>
      </w:r>
      <w:r>
        <w:t xml:space="preserve"> </w:t>
      </w:r>
      <w:hyperlink r:id="rId93">
        <w:r>
          <w:rPr>
            <w:rStyle w:val="Hyperlink"/>
          </w:rPr>
          <w:t xml:space="preserve">https://doi.org/10.1016/j.worlddev.2015.05.004</w:t>
        </w:r>
      </w:hyperlink>
      <w:r>
        <w:t xml:space="preserve">.</w:t>
      </w:r>
    </w:p>
    <w:bookmarkEnd w:id="94"/>
    <w:bookmarkStart w:id="96"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95">
        <w:r>
          <w:rPr>
            <w:rStyle w:val="Hyperlink"/>
          </w:rPr>
          <w:t xml:space="preserve">https://doi.org/10.1017/CBO9780511541957</w:t>
        </w:r>
      </w:hyperlink>
      <w:r>
        <w:t xml:space="preserve">.</w:t>
      </w:r>
    </w:p>
    <w:bookmarkEnd w:id="96"/>
    <w:bookmarkStart w:id="98"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 </w:t>
      </w:r>
      <w:r>
        <w:rPr>
          <w:i/>
          <w:iCs/>
        </w:rPr>
        <w:t xml:space="preserve">Journal of Statistical Mechanics: Theory and Experiment</w:t>
      </w:r>
      <w:r>
        <w:t xml:space="preserve">, 2008(10), p. P10008. Available at:</w:t>
      </w:r>
      <w:r>
        <w:t xml:space="preserve"> </w:t>
      </w:r>
      <w:hyperlink r:id="rId97">
        <w:r>
          <w:rPr>
            <w:rStyle w:val="Hyperlink"/>
          </w:rPr>
          <w:t xml:space="preserve">https://doi.org/10.1088/1742-5468/2008/10/P10008</w:t>
        </w:r>
      </w:hyperlink>
      <w:r>
        <w:t xml:space="preserve">.</w:t>
      </w:r>
    </w:p>
    <w:bookmarkEnd w:id="98"/>
    <w:bookmarkStart w:id="99"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99"/>
    <w:bookmarkStart w:id="101"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Available at:</w:t>
      </w:r>
      <w:r>
        <w:t xml:space="preserve"> </w:t>
      </w:r>
      <w:hyperlink r:id="rId100">
        <w:r>
          <w:rPr>
            <w:rStyle w:val="Hyperlink"/>
          </w:rPr>
          <w:t xml:space="preserve">https://doi.org/10.1002/9780470743386</w:t>
        </w:r>
      </w:hyperlink>
      <w:r>
        <w:t xml:space="preserve">.</w:t>
      </w:r>
    </w:p>
    <w:bookmarkEnd w:id="101"/>
    <w:bookmarkStart w:id="103"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102">
        <w:r>
          <w:rPr>
            <w:rStyle w:val="Hyperlink"/>
          </w:rPr>
          <w:t xml:space="preserve">https://doi.org/10.1007/978-94-007-6603-1</w:t>
        </w:r>
      </w:hyperlink>
      <w:r>
        <w:t xml:space="preserve">.</w:t>
      </w:r>
    </w:p>
    <w:bookmarkEnd w:id="103"/>
    <w:bookmarkStart w:id="105"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 </w:t>
      </w:r>
      <w:r>
        <w:rPr>
          <w:i/>
          <w:iCs/>
        </w:rPr>
        <w:t xml:space="preserve">BMC Medical Informatics and Decision Making</w:t>
      </w:r>
      <w:r>
        <w:t xml:space="preserve">, 21(1), p. 179. Available at:</w:t>
      </w:r>
      <w:r>
        <w:t xml:space="preserve"> </w:t>
      </w:r>
      <w:hyperlink r:id="rId104">
        <w:r>
          <w:rPr>
            <w:rStyle w:val="Hyperlink"/>
          </w:rPr>
          <w:t xml:space="preserve">https://doi.org/10.1186/s12911-021-01533-7</w:t>
        </w:r>
      </w:hyperlink>
      <w:r>
        <w:t xml:space="preserve">.</w:t>
      </w:r>
    </w:p>
    <w:bookmarkEnd w:id="105"/>
    <w:bookmarkStart w:id="107" w:name="ref-Celette2016WaterStress"/>
    <w:p>
      <w:pPr>
        <w:pStyle w:val="Bibliografia"/>
      </w:pPr>
      <w:r>
        <w:t xml:space="preserve">Celette, F., Findeling, A. and Gary, C. (2016)</w:t>
      </w:r>
      <w:r>
        <w:t xml:space="preserve"> </w:t>
      </w:r>
      <w:r>
        <w:t xml:space="preserve">“Vineyard water and nitrogen management using a cover crop: A review,”</w:t>
      </w:r>
      <w:r>
        <w:t xml:space="preserve"> </w:t>
      </w:r>
      <w:r>
        <w:rPr>
          <w:i/>
          <w:iCs/>
        </w:rPr>
        <w:t xml:space="preserve">Agronomy for Sustainable Development</w:t>
      </w:r>
      <w:r>
        <w:t xml:space="preserve">, 36(1), p. 4. Available at:</w:t>
      </w:r>
      <w:r>
        <w:t xml:space="preserve"> </w:t>
      </w:r>
      <w:hyperlink r:id="rId106">
        <w:r>
          <w:rPr>
            <w:rStyle w:val="Hyperlink"/>
          </w:rPr>
          <w:t xml:space="preserve">https://doi.org/10.1007/s13593-015-0337-y</w:t>
        </w:r>
      </w:hyperlink>
      <w:r>
        <w:t xml:space="preserve">.</w:t>
      </w:r>
    </w:p>
    <w:bookmarkEnd w:id="107"/>
    <w:bookmarkStart w:id="109" w:name="ref-Cochran1954"/>
    <w:p>
      <w:pPr>
        <w:pStyle w:val="Bibliografia"/>
      </w:pPr>
      <w:r>
        <w:t xml:space="preserve">Cochran, W.G. (1954)</w:t>
      </w:r>
      <w:r>
        <w:t xml:space="preserve"> </w:t>
      </w:r>
      <w:r>
        <w:t xml:space="preserve">“The combination of estimates from different experiments,”</w:t>
      </w:r>
      <w:r>
        <w:t xml:space="preserve"> </w:t>
      </w:r>
      <w:r>
        <w:rPr>
          <w:i/>
          <w:iCs/>
        </w:rPr>
        <w:t xml:space="preserve">Biometrics</w:t>
      </w:r>
      <w:r>
        <w:t xml:space="preserve">, 10(1), pp. 101–129. Available at:</w:t>
      </w:r>
      <w:r>
        <w:t xml:space="preserve"> </w:t>
      </w:r>
      <w:hyperlink r:id="rId108">
        <w:r>
          <w:rPr>
            <w:rStyle w:val="Hyperlink"/>
          </w:rPr>
          <w:t xml:space="preserve">https://doi.org/10.2307/3001666</w:t>
        </w:r>
      </w:hyperlink>
      <w:r>
        <w:t xml:space="preserve">.</w:t>
      </w:r>
    </w:p>
    <w:bookmarkEnd w:id="109"/>
    <w:bookmarkStart w:id="110"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0"/>
    <w:bookmarkStart w:id="112" w:name="ref-Csardi2006"/>
    <w:p>
      <w:pPr>
        <w:pStyle w:val="Bibliografia"/>
      </w:pPr>
      <w:r>
        <w:t xml:space="preserve">Cs-írdi, G. and Nepusz, T. (2006)</w:t>
      </w:r>
      <w:r>
        <w:t xml:space="preserve"> </w:t>
      </w:r>
      <w:r>
        <w:t xml:space="preserve">“The igraph software package for complex network research,”</w:t>
      </w:r>
      <w:r>
        <w:t xml:space="preserve"> </w:t>
      </w:r>
      <w:r>
        <w:rPr>
          <w:i/>
          <w:iCs/>
        </w:rPr>
        <w:t xml:space="preserve">InterJournal Complex Systems</w:t>
      </w:r>
      <w:r>
        <w:t xml:space="preserve">, 1695, pp. 1–9. Available at:</w:t>
      </w:r>
      <w:r>
        <w:t xml:space="preserve"> </w:t>
      </w:r>
      <w:hyperlink r:id="rId111">
        <w:r>
          <w:rPr>
            <w:rStyle w:val="Hyperlink"/>
          </w:rPr>
          <w:t xml:space="preserve">https://igraph.org</w:t>
        </w:r>
      </w:hyperlink>
      <w:r>
        <w:t xml:space="preserve">.</w:t>
      </w:r>
    </w:p>
    <w:bookmarkEnd w:id="112"/>
    <w:bookmarkStart w:id="113"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3"/>
    <w:bookmarkStart w:id="115" w:name="ref-DerSimonian1986"/>
    <w:p>
      <w:pPr>
        <w:pStyle w:val="Bibliografia"/>
      </w:pPr>
      <w:r>
        <w:t xml:space="preserve">DerSimonian, R. and Laird, N. (1986)</w:t>
      </w:r>
      <w:r>
        <w:t xml:space="preserve"> </w:t>
      </w:r>
      <w:r>
        <w:t xml:space="preserve">“Meta-analysis in clinical trials,”</w:t>
      </w:r>
      <w:r>
        <w:t xml:space="preserve"> </w:t>
      </w:r>
      <w:r>
        <w:rPr>
          <w:i/>
          <w:iCs/>
        </w:rPr>
        <w:t xml:space="preserve">Controlled Clinical Trials</w:t>
      </w:r>
      <w:r>
        <w:t xml:space="preserve">, 7(3), pp. 177–188. Available at:</w:t>
      </w:r>
      <w:r>
        <w:t xml:space="preserve"> </w:t>
      </w:r>
      <w:hyperlink r:id="rId114">
        <w:r>
          <w:rPr>
            <w:rStyle w:val="Hyperlink"/>
          </w:rPr>
          <w:t xml:space="preserve">https://doi.org/10.1016/0197-2456(86)90046-2</w:t>
        </w:r>
      </w:hyperlink>
      <w:r>
        <w:t xml:space="preserve">.</w:t>
      </w:r>
    </w:p>
    <w:bookmarkEnd w:id="115"/>
    <w:bookmarkStart w:id="117" w:name="ref-Duval2000"/>
    <w:p>
      <w:pPr>
        <w:pStyle w:val="Bibliografia"/>
      </w:pPr>
      <w:r>
        <w:t xml:space="preserve">Duval, S. and Tweedie, R. (2000)</w:t>
      </w:r>
      <w:r>
        <w:t xml:space="preserve"> </w:t>
      </w:r>
      <w:r>
        <w:t xml:space="preserve">“Trim and fill: A simple funnel-plot-based method of testing and adjusting for publication bias in meta-analysis,”</w:t>
      </w:r>
      <w:r>
        <w:t xml:space="preserve"> </w:t>
      </w:r>
      <w:r>
        <w:rPr>
          <w:i/>
          <w:iCs/>
        </w:rPr>
        <w:t xml:space="preserve">Biometrics</w:t>
      </w:r>
      <w:r>
        <w:t xml:space="preserve">, 56(2), pp. 455–463. Available at:</w:t>
      </w:r>
      <w:r>
        <w:t xml:space="preserve"> </w:t>
      </w:r>
      <w:hyperlink r:id="rId116">
        <w:r>
          <w:rPr>
            <w:rStyle w:val="Hyperlink"/>
          </w:rPr>
          <w:t xml:space="preserve">https://doi.org/10.1111/j.0006-341X.2000.00455.x</w:t>
        </w:r>
      </w:hyperlink>
      <w:r>
        <w:t xml:space="preserve">.</w:t>
      </w:r>
    </w:p>
    <w:bookmarkEnd w:id="117"/>
    <w:bookmarkStart w:id="119" w:name="ref-Effrosynidis2021"/>
    <w:p>
      <w:pPr>
        <w:pStyle w:val="Bibliografia"/>
      </w:pPr>
      <w:r>
        <w:t xml:space="preserve">Effrosynidis, D. and Arampatzis, A. (2021)</w:t>
      </w:r>
      <w:r>
        <w:t xml:space="preserve"> </w:t>
      </w:r>
      <w:r>
        <w:t xml:space="preserve">“An evaluation of feature selection methods for environmental data,”</w:t>
      </w:r>
      <w:r>
        <w:t xml:space="preserve"> </w:t>
      </w:r>
      <w:r>
        <w:rPr>
          <w:i/>
          <w:iCs/>
        </w:rPr>
        <w:t xml:space="preserve">Ecological Informatics</w:t>
      </w:r>
      <w:r>
        <w:t xml:space="preserve">, 66, p. 101472. Available at:</w:t>
      </w:r>
      <w:r>
        <w:t xml:space="preserve"> </w:t>
      </w:r>
      <w:hyperlink r:id="rId118">
        <w:r>
          <w:rPr>
            <w:rStyle w:val="Hyperlink"/>
          </w:rPr>
          <w:t xml:space="preserve">https://doi.org/10.1016/j.ecoinf.2021.101472</w:t>
        </w:r>
      </w:hyperlink>
      <w:r>
        <w:t xml:space="preserve">.</w:t>
      </w:r>
    </w:p>
    <w:bookmarkEnd w:id="119"/>
    <w:bookmarkStart w:id="121"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 </w:t>
      </w:r>
      <w:r>
        <w:rPr>
          <w:i/>
          <w:iCs/>
        </w:rPr>
        <w:t xml:space="preserve">BMJ</w:t>
      </w:r>
      <w:r>
        <w:t xml:space="preserve">, 315(7109), pp. 629–634. Available at:</w:t>
      </w:r>
      <w:r>
        <w:t xml:space="preserve"> </w:t>
      </w:r>
      <w:hyperlink r:id="rId120">
        <w:r>
          <w:rPr>
            <w:rStyle w:val="Hyperlink"/>
          </w:rPr>
          <w:t xml:space="preserve">https://doi.org/10.1136/bmj.315.7109.629</w:t>
        </w:r>
      </w:hyperlink>
      <w:r>
        <w:t xml:space="preserve">.</w:t>
      </w:r>
    </w:p>
    <w:bookmarkEnd w:id="121"/>
    <w:bookmarkStart w:id="123"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 </w:t>
      </w:r>
      <w:r>
        <w:rPr>
          <w:i/>
          <w:iCs/>
        </w:rPr>
        <w:t xml:space="preserve">Nature</w:t>
      </w:r>
      <w:r>
        <w:t xml:space="preserve">, 619, pp. E1–E3. Available at:</w:t>
      </w:r>
      <w:r>
        <w:t xml:space="preserve"> </w:t>
      </w:r>
      <w:hyperlink r:id="rId122">
        <w:r>
          <w:rPr>
            <w:rStyle w:val="Hyperlink"/>
          </w:rPr>
          <w:t xml:space="preserve">https://doi.org/10.1038/s41586-023-06168-y</w:t>
        </w:r>
      </w:hyperlink>
      <w:r>
        <w:t xml:space="preserve">.</w:t>
      </w:r>
    </w:p>
    <w:bookmarkEnd w:id="123"/>
    <w:bookmarkStart w:id="125"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Available at:</w:t>
      </w:r>
      <w:r>
        <w:t xml:space="preserve"> </w:t>
      </w:r>
      <w:hyperlink r:id="rId124">
        <w:r>
          <w:rPr>
            <w:rStyle w:val="Hyperlink"/>
          </w:rPr>
          <w:t xml:space="preserve">https://doi.org/10.2777/1524</w:t>
        </w:r>
      </w:hyperlink>
      <w:r>
        <w:t xml:space="preserve">.</w:t>
      </w:r>
    </w:p>
    <w:bookmarkEnd w:id="125"/>
    <w:bookmarkStart w:id="127"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126">
        <w:r>
          <w:rPr>
            <w:rStyle w:val="Hyperlink"/>
          </w:rPr>
          <w:t xml:space="preserve">http://data.europa.eu/eli/reg/2012/1151/oj</w:t>
        </w:r>
      </w:hyperlink>
      <w:r>
        <w:t xml:space="preserve">.</w:t>
      </w:r>
    </w:p>
    <w:bookmarkEnd w:id="127"/>
    <w:bookmarkStart w:id="129"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 </w:t>
      </w:r>
      <w:r>
        <w:rPr>
          <w:i/>
          <w:iCs/>
        </w:rPr>
        <w:t xml:space="preserve">JPA</w:t>
      </w:r>
      <w:r>
        <w:t xml:space="preserve"> </w:t>
      </w:r>
      <w:r>
        <w:t xml:space="preserve">[Preprint]. Available at:</w:t>
      </w:r>
      <w:r>
        <w:t xml:space="preserve"> </w:t>
      </w:r>
      <w:hyperlink r:id="rId128">
        <w:r>
          <w:rPr>
            <w:rStyle w:val="Hyperlink"/>
          </w:rPr>
          <w:t xml:space="preserve">https://doi.org/10.1016/j.jpa.2025.xxxxxx</w:t>
        </w:r>
      </w:hyperlink>
      <w:r>
        <w:t xml:space="preserve">.</w:t>
      </w:r>
    </w:p>
    <w:bookmarkEnd w:id="129"/>
    <w:bookmarkStart w:id="131"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130">
        <w:r>
          <w:rPr>
            <w:rStyle w:val="Hyperlink"/>
          </w:rPr>
          <w:t xml:space="preserve">https://doi.org/10.1108/BFJ-12-2014-0392</w:t>
        </w:r>
      </w:hyperlink>
      <w:r>
        <w:t xml:space="preserve">.</w:t>
      </w:r>
    </w:p>
    <w:bookmarkEnd w:id="131"/>
    <w:bookmarkStart w:id="133" w:name="ref-GeneEnvironment2022"/>
    <w:p>
      <w:pPr>
        <w:pStyle w:val="Bibliografia"/>
      </w:pPr>
      <w:r>
        <w:t xml:space="preserve">Fournier-Level, A. and Korte, A. (2022)</w:t>
      </w:r>
      <w:r>
        <w:t xml:space="preserve"> </w:t>
      </w:r>
      <w:r>
        <w:t xml:space="preserve">“Gene-by-environment interactions in plants: Molecular mechanisms, environmental drivers, and adaptive plasticity,”</w:t>
      </w:r>
      <w:r>
        <w:t xml:space="preserve"> </w:t>
      </w:r>
      <w:r>
        <w:rPr>
          <w:i/>
          <w:iCs/>
        </w:rPr>
        <w:t xml:space="preserve">Journal of Experimental Botany</w:t>
      </w:r>
      <w:r>
        <w:t xml:space="preserve">, 73(20), pp. 7039–7058. Available at:</w:t>
      </w:r>
      <w:r>
        <w:t xml:space="preserve"> </w:t>
      </w:r>
      <w:hyperlink r:id="rId132">
        <w:r>
          <w:rPr>
            <w:rStyle w:val="Hyperlink"/>
          </w:rPr>
          <w:t xml:space="preserve">https://doi.org/10.1093/jxb/erac328</w:t>
        </w:r>
      </w:hyperlink>
      <w:r>
        <w:t xml:space="preserve">.</w:t>
      </w:r>
    </w:p>
    <w:bookmarkEnd w:id="133"/>
    <w:bookmarkStart w:id="135"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134">
        <w:r>
          <w:rPr>
            <w:rStyle w:val="Hyperlink"/>
          </w:rPr>
          <w:t xml:space="preserve">https://doi.org/10.1177/10860266231168905</w:t>
        </w:r>
      </w:hyperlink>
      <w:r>
        <w:t xml:space="preserve">.</w:t>
      </w:r>
    </w:p>
    <w:bookmarkEnd w:id="135"/>
    <w:bookmarkStart w:id="136"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36"/>
    <w:bookmarkStart w:id="137"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37"/>
    <w:bookmarkStart w:id="139"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138">
        <w:r>
          <w:rPr>
            <w:rStyle w:val="Hyperlink"/>
          </w:rPr>
          <w:t xml:space="preserve">https://pmc.ncbi.nlm.nih.gov/articles/PMC11513333/</w:t>
        </w:r>
      </w:hyperlink>
      <w:r>
        <w:t xml:space="preserve">.</w:t>
      </w:r>
    </w:p>
    <w:bookmarkEnd w:id="139"/>
    <w:bookmarkStart w:id="141"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 </w:t>
      </w:r>
      <w:r>
        <w:rPr>
          <w:i/>
          <w:iCs/>
        </w:rPr>
        <w:t xml:space="preserve">Trends in Food Science &amp; Technology</w:t>
      </w:r>
      <w:r>
        <w:t xml:space="preserve">, 144, p. 104321. Available at:</w:t>
      </w:r>
      <w:r>
        <w:t xml:space="preserve"> </w:t>
      </w:r>
      <w:hyperlink r:id="rId140">
        <w:r>
          <w:rPr>
            <w:rStyle w:val="Hyperlink"/>
          </w:rPr>
          <w:t xml:space="preserve">https://doi.org/10.1016/j.tifs.2023.104321</w:t>
        </w:r>
      </w:hyperlink>
      <w:r>
        <w:t xml:space="preserve">.</w:t>
      </w:r>
    </w:p>
    <w:bookmarkEnd w:id="141"/>
    <w:bookmarkStart w:id="143"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142">
        <w:r>
          <w:rPr>
            <w:rStyle w:val="Hyperlink"/>
          </w:rPr>
          <w:t xml:space="preserve">https://doi.org/10.3390/s22020498</w:t>
        </w:r>
      </w:hyperlink>
      <w:r>
        <w:t xml:space="preserve">.</w:t>
      </w:r>
    </w:p>
    <w:bookmarkEnd w:id="143"/>
    <w:bookmarkStart w:id="145"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 </w:t>
      </w:r>
      <w:r>
        <w:rPr>
          <w:i/>
          <w:iCs/>
        </w:rPr>
        <w:t xml:space="preserve">BMJ</w:t>
      </w:r>
      <w:r>
        <w:t xml:space="preserve">, 327(7414), pp. 557–560. Available at:</w:t>
      </w:r>
      <w:r>
        <w:t xml:space="preserve"> </w:t>
      </w:r>
      <w:hyperlink r:id="rId144">
        <w:r>
          <w:rPr>
            <w:rStyle w:val="Hyperlink"/>
          </w:rPr>
          <w:t xml:space="preserve">https://doi.org/10.1136/bmj.327.7414.557</w:t>
        </w:r>
      </w:hyperlink>
      <w:r>
        <w:t xml:space="preserve">.</w:t>
      </w:r>
    </w:p>
    <w:bookmarkEnd w:id="145"/>
    <w:bookmarkStart w:id="146"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 </w:t>
      </w:r>
      <w:r>
        <w:rPr>
          <w:i/>
          <w:iCs/>
        </w:rPr>
        <w:t xml:space="preserve">International Journal of Nursing Studies</w:t>
      </w:r>
      <w:r>
        <w:t xml:space="preserve">, 102, p. 103452.</w:t>
      </w:r>
    </w:p>
    <w:bookmarkEnd w:id="146"/>
    <w:bookmarkStart w:id="148" w:name="ref-Iranzad2025"/>
    <w:p>
      <w:pPr>
        <w:pStyle w:val="Bibliografia"/>
      </w:pPr>
      <w:r>
        <w:t xml:space="preserve">Iranzad, R. and Liu, X. (2025)</w:t>
      </w:r>
      <w:r>
        <w:t xml:space="preserve"> </w:t>
      </w:r>
      <w:r>
        <w:t xml:space="preserve">“A review of random forest-based feature selection methods for data science education and applications,”</w:t>
      </w:r>
      <w:r>
        <w:t xml:space="preserve"> </w:t>
      </w:r>
      <w:r>
        <w:rPr>
          <w:i/>
          <w:iCs/>
        </w:rPr>
        <w:t xml:space="preserve">International Journal of Data Science and Analytics</w:t>
      </w:r>
      <w:r>
        <w:t xml:space="preserve">, 19(1), pp. 1–28. Available at:</w:t>
      </w:r>
      <w:r>
        <w:t xml:space="preserve"> </w:t>
      </w:r>
      <w:hyperlink r:id="rId147">
        <w:r>
          <w:rPr>
            <w:rStyle w:val="Hyperlink"/>
          </w:rPr>
          <w:t xml:space="preserve">https://doi.org/10.1007/s41060-024-00509-w</w:t>
        </w:r>
      </w:hyperlink>
      <w:r>
        <w:t xml:space="preserve">.</w:t>
      </w:r>
    </w:p>
    <w:bookmarkEnd w:id="148"/>
    <w:bookmarkStart w:id="150" w:name="ref-Hosmer2013"/>
    <w:p>
      <w:pPr>
        <w:pStyle w:val="Bibliografia"/>
      </w:pPr>
      <w:r>
        <w:t xml:space="preserve">Jr., D.W.H., Lemeshow, S. and Sturdivant, R.X. (2013)</w:t>
      </w:r>
      <w:r>
        <w:t xml:space="preserve"> </w:t>
      </w:r>
      <w:r>
        <w:rPr>
          <w:i/>
          <w:iCs/>
        </w:rPr>
        <w:t xml:space="preserve">Applied logistic regression</w:t>
      </w:r>
      <w:r>
        <w:t xml:space="preserve">. 3rd ed. Hoboken, NJ: John Wiley &amp; Sons. Available at:</w:t>
      </w:r>
      <w:r>
        <w:t xml:space="preserve"> </w:t>
      </w:r>
      <w:hyperlink r:id="rId149">
        <w:r>
          <w:rPr>
            <w:rStyle w:val="Hyperlink"/>
          </w:rPr>
          <w:t xml:space="preserve">https://doi.org/10.1002/9781118548387</w:t>
        </w:r>
      </w:hyperlink>
      <w:r>
        <w:t xml:space="preserve">.</w:t>
      </w:r>
    </w:p>
    <w:bookmarkEnd w:id="150"/>
    <w:bookmarkStart w:id="152" w:name="ref-Kapoor2023"/>
    <w:p>
      <w:pPr>
        <w:pStyle w:val="Bibliografia"/>
      </w:pPr>
      <w:r>
        <w:t xml:space="preserve">Kapoor, S. and Narayanan, A. (2023)</w:t>
      </w:r>
      <w:r>
        <w:t xml:space="preserve"> </w:t>
      </w:r>
      <w:r>
        <w:t xml:space="preserve">“Leakage and the reproducibility crisis in machine-learning-based science,”</w:t>
      </w:r>
      <w:r>
        <w:t xml:space="preserve"> </w:t>
      </w:r>
      <w:r>
        <w:rPr>
          <w:i/>
          <w:iCs/>
        </w:rPr>
        <w:t xml:space="preserve">Patterns</w:t>
      </w:r>
      <w:r>
        <w:t xml:space="preserve">, 4(9), p. 100804. Available at:</w:t>
      </w:r>
      <w:r>
        <w:t xml:space="preserve"> </w:t>
      </w:r>
      <w:hyperlink r:id="rId151">
        <w:r>
          <w:rPr>
            <w:rStyle w:val="Hyperlink"/>
          </w:rPr>
          <w:t xml:space="preserve">https://doi.org/10.1016/j.patter.2023.100804</w:t>
        </w:r>
      </w:hyperlink>
      <w:r>
        <w:t xml:space="preserve">.</w:t>
      </w:r>
    </w:p>
    <w:bookmarkEnd w:id="152"/>
    <w:bookmarkStart w:id="154"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 </w:t>
      </w:r>
      <w:r>
        <w:rPr>
          <w:i/>
          <w:iCs/>
        </w:rPr>
        <w:t xml:space="preserve">Agricultural Systems</w:t>
      </w:r>
      <w:r>
        <w:t xml:space="preserve">, 193, p. 103217. Available at:</w:t>
      </w:r>
      <w:r>
        <w:t xml:space="preserve"> </w:t>
      </w:r>
      <w:hyperlink r:id="rId153">
        <w:r>
          <w:rPr>
            <w:rStyle w:val="Hyperlink"/>
          </w:rPr>
          <w:t xml:space="preserve">https://doi.org/10.1016/j.agsy.2021.103217</w:t>
        </w:r>
      </w:hyperlink>
      <w:r>
        <w:t xml:space="preserve">.</w:t>
      </w:r>
    </w:p>
    <w:bookmarkEnd w:id="154"/>
    <w:bookmarkStart w:id="156" w:name="ref-Kshetri2014DigitalDivide"/>
    <w:p>
      <w:pPr>
        <w:pStyle w:val="Bibliografia"/>
      </w:pPr>
      <w:r>
        <w:t xml:space="preserve">Kshetri, N. (2014a)</w:t>
      </w:r>
      <w:r>
        <w:t xml:space="preserve"> </w:t>
      </w:r>
      <w:r>
        <w:t xml:space="preserve">“Big dataÔÇÖs impact on privacy, security and consumer welfare,”</w:t>
      </w:r>
      <w:r>
        <w:t xml:space="preserve"> </w:t>
      </w:r>
      <w:r>
        <w:rPr>
          <w:i/>
          <w:iCs/>
        </w:rPr>
        <w:t xml:space="preserve">Telecommunications Policy</w:t>
      </w:r>
      <w:r>
        <w:t xml:space="preserve">, 38(11), pp. 1134–1145. Available at:</w:t>
      </w:r>
      <w:r>
        <w:t xml:space="preserve"> </w:t>
      </w:r>
      <w:hyperlink r:id="rId155">
        <w:r>
          <w:rPr>
            <w:rStyle w:val="Hyperlink"/>
          </w:rPr>
          <w:t xml:space="preserve">https://doi.org/10.1016/j.telpol.2014.10.002</w:t>
        </w:r>
      </w:hyperlink>
      <w:r>
        <w:t xml:space="preserve">.</w:t>
      </w:r>
    </w:p>
    <w:bookmarkEnd w:id="156"/>
    <w:bookmarkStart w:id="158" w:name="ref-Kshetri2014"/>
    <w:p>
      <w:pPr>
        <w:pStyle w:val="Bibliografia"/>
      </w:pPr>
      <w:r>
        <w:t xml:space="preserve">Kshetri, N. (2014b)</w:t>
      </w:r>
      <w:r>
        <w:t xml:space="preserve"> </w:t>
      </w:r>
      <w:r>
        <w:t xml:space="preserve">“The emerging role of big data in key development issues: Opportunities, challenges, and concerns,”</w:t>
      </w:r>
      <w:r>
        <w:t xml:space="preserve"> </w:t>
      </w:r>
      <w:r>
        <w:rPr>
          <w:i/>
          <w:iCs/>
        </w:rPr>
        <w:t xml:space="preserve">Big Data &amp; Society</w:t>
      </w:r>
      <w:r>
        <w:t xml:space="preserve">, 1(2), p. 2053951714564227. Available at:</w:t>
      </w:r>
      <w:r>
        <w:t xml:space="preserve"> </w:t>
      </w:r>
      <w:hyperlink r:id="rId157">
        <w:r>
          <w:rPr>
            <w:rStyle w:val="Hyperlink"/>
          </w:rPr>
          <w:t xml:space="preserve">https://doi.org/10.1177/2053951714564227</w:t>
        </w:r>
      </w:hyperlink>
      <w:r>
        <w:t xml:space="preserve">.</w:t>
      </w:r>
    </w:p>
    <w:bookmarkEnd w:id="158"/>
    <w:bookmarkStart w:id="159" w:name="ref-Kuhn2013"/>
    <w:p>
      <w:pPr>
        <w:pStyle w:val="Bibliografia"/>
      </w:pPr>
      <w:r>
        <w:t xml:space="preserve">Kuhn, M. and Johnson, K. (2013)</w:t>
      </w:r>
      <w:r>
        <w:t xml:space="preserve"> </w:t>
      </w:r>
      <w:r>
        <w:rPr>
          <w:i/>
          <w:iCs/>
        </w:rPr>
        <w:t xml:space="preserve">Applied predictive modeling</w:t>
      </w:r>
      <w:r>
        <w:t xml:space="preserve">. Springer.</w:t>
      </w:r>
    </w:p>
    <w:bookmarkEnd w:id="159"/>
    <w:bookmarkStart w:id="161" w:name="ref-Le2008"/>
    <w:p>
      <w:pPr>
        <w:pStyle w:val="Bibliografia"/>
      </w:pPr>
      <w:r>
        <w:t xml:space="preserve">L-¬, S., Josse, J. and Husson, F. (2008)</w:t>
      </w:r>
      <w:r>
        <w:t xml:space="preserve"> </w:t>
      </w:r>
      <w:r>
        <w:t xml:space="preserve">“FactoMineR: An r package for multivariate analysis,”</w:t>
      </w:r>
      <w:r>
        <w:t xml:space="preserve"> </w:t>
      </w:r>
      <w:r>
        <w:rPr>
          <w:i/>
          <w:iCs/>
        </w:rPr>
        <w:t xml:space="preserve">Journal of Statistical Software</w:t>
      </w:r>
      <w:r>
        <w:t xml:space="preserve">, 25(1), pp. 1–18. Available at:</w:t>
      </w:r>
      <w:r>
        <w:t xml:space="preserve"> </w:t>
      </w:r>
      <w:hyperlink r:id="rId160">
        <w:r>
          <w:rPr>
            <w:rStyle w:val="Hyperlink"/>
          </w:rPr>
          <w:t xml:space="preserve">https://www.jstatsoft.org/v25/i01/</w:t>
        </w:r>
      </w:hyperlink>
      <w:r>
        <w:t xml:space="preserve">.</w:t>
      </w:r>
    </w:p>
    <w:bookmarkEnd w:id="161"/>
    <w:bookmarkStart w:id="163" w:name="ref-Lavine2005"/>
    <w:p>
      <w:pPr>
        <w:pStyle w:val="Bibliografia"/>
      </w:pPr>
      <w:r>
        <w:t xml:space="preserve">Lavine, B.K. and Workman, Jr., Jerome (2005)</w:t>
      </w:r>
      <w:r>
        <w:t xml:space="preserve"> </w:t>
      </w:r>
      <w:r>
        <w:t xml:space="preserve">“Chemometrics: Past, present, and future,”</w:t>
      </w:r>
      <w:r>
        <w:t xml:space="preserve"> </w:t>
      </w:r>
      <w:r>
        <w:t xml:space="preserve">in</w:t>
      </w:r>
      <w:r>
        <w:t xml:space="preserve"> </w:t>
      </w:r>
      <w:r>
        <w:rPr>
          <w:i/>
          <w:iCs/>
        </w:rPr>
        <w:t xml:space="preserve">Chemometrics and chemoinformatics</w:t>
      </w:r>
      <w:r>
        <w:t xml:space="preserve">. American Chemical Society (ACS symposium series), pp. 1–13. Available at:</w:t>
      </w:r>
      <w:r>
        <w:t xml:space="preserve"> </w:t>
      </w:r>
      <w:hyperlink r:id="rId162">
        <w:r>
          <w:rPr>
            <w:rStyle w:val="Hyperlink"/>
          </w:rPr>
          <w:t xml:space="preserve">https://doi.org/10.1021/bk-2005-0894.ch001</w:t>
        </w:r>
      </w:hyperlink>
      <w:r>
        <w:t xml:space="preserve">.</w:t>
      </w:r>
    </w:p>
    <w:bookmarkEnd w:id="163"/>
    <w:bookmarkStart w:id="165"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64">
        <w:r>
          <w:rPr>
            <w:rStyle w:val="Hyperlink"/>
          </w:rPr>
          <w:t xml:space="preserve">https://doi.org/10.5751/ES-08834-210442</w:t>
        </w:r>
      </w:hyperlink>
      <w:r>
        <w:t xml:space="preserve">.</w:t>
      </w:r>
    </w:p>
    <w:bookmarkEnd w:id="165"/>
    <w:bookmarkStart w:id="167"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66">
        <w:r>
          <w:rPr>
            <w:rStyle w:val="Hyperlink"/>
          </w:rPr>
          <w:t xml:space="preserve">https://doi.org/10.1007/s100219900037</w:t>
        </w:r>
      </w:hyperlink>
      <w:r>
        <w:t xml:space="preserve">.</w:t>
      </w:r>
    </w:p>
    <w:bookmarkEnd w:id="167"/>
    <w:bookmarkStart w:id="169"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 </w:t>
      </w:r>
      <w:r>
        <w:rPr>
          <w:i/>
          <w:iCs/>
        </w:rPr>
        <w:t xml:space="preserve">Geoscientific Model Development</w:t>
      </w:r>
      <w:r>
        <w:t xml:space="preserve">, 15, pp. 2839–2861. Available at:</w:t>
      </w:r>
      <w:r>
        <w:t xml:space="preserve"> </w:t>
      </w:r>
      <w:hyperlink r:id="rId168">
        <w:r>
          <w:rPr>
            <w:rStyle w:val="Hyperlink"/>
          </w:rPr>
          <w:t xml:space="preserve">https://doi.org/10.5194/gmd-15-2839-2022</w:t>
        </w:r>
      </w:hyperlink>
      <w:r>
        <w:t xml:space="preserve">.</w:t>
      </w:r>
    </w:p>
    <w:bookmarkEnd w:id="169"/>
    <w:bookmarkStart w:id="171"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 </w:t>
      </w:r>
      <w:r>
        <w:rPr>
          <w:i/>
          <w:iCs/>
        </w:rPr>
        <w:t xml:space="preserve">Sensors</w:t>
      </w:r>
      <w:r>
        <w:t xml:space="preserve">, 18(8), p. 2674. Available at:</w:t>
      </w:r>
      <w:r>
        <w:t xml:space="preserve"> </w:t>
      </w:r>
      <w:hyperlink r:id="rId170">
        <w:r>
          <w:rPr>
            <w:rStyle w:val="Hyperlink"/>
          </w:rPr>
          <w:t xml:space="preserve">https://doi.org/10.3390/s18082674</w:t>
        </w:r>
      </w:hyperlink>
      <w:r>
        <w:t xml:space="preserve">.</w:t>
      </w:r>
    </w:p>
    <w:bookmarkEnd w:id="171"/>
    <w:bookmarkStart w:id="173"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72">
        <w:r>
          <w:rPr>
            <w:rStyle w:val="Hyperlink"/>
          </w:rPr>
          <w:t xml:space="preserve">https://doi.org/10.1371/journal.pone.0279904</w:t>
        </w:r>
      </w:hyperlink>
      <w:r>
        <w:t xml:space="preserve">.</w:t>
      </w:r>
    </w:p>
    <w:bookmarkEnd w:id="173"/>
    <w:bookmarkStart w:id="174"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4"/>
    <w:bookmarkStart w:id="175" w:name="ref-lotka1926"/>
    <w:p>
      <w:pPr>
        <w:pStyle w:val="Bibliografia"/>
      </w:pPr>
      <w:r>
        <w:t xml:space="preserve">Lotka, A.J. (1926)</w:t>
      </w:r>
      <w:r>
        <w:t xml:space="preserve"> </w:t>
      </w:r>
      <w:r>
        <w:t xml:space="preserve">“The frequency distribution of scientific productivity,”</w:t>
      </w:r>
      <w:r>
        <w:t xml:space="preserve"> </w:t>
      </w:r>
      <w:r>
        <w:rPr>
          <w:i/>
          <w:iCs/>
        </w:rPr>
        <w:t xml:space="preserve">Journal of the Washington Academy of Sciences</w:t>
      </w:r>
      <w:r>
        <w:t xml:space="preserve">, 16(12), pp. 317–323.</w:t>
      </w:r>
    </w:p>
    <w:bookmarkEnd w:id="175"/>
    <w:bookmarkStart w:id="177" w:name="ref-Lundberg2017"/>
    <w:p>
      <w:pPr>
        <w:pStyle w:val="Bibliografia"/>
      </w:pPr>
      <w:r>
        <w:t xml:space="preserve">Lundberg, S.M. and Lee, S.-I. (2017)</w:t>
      </w:r>
      <w:r>
        <w:t xml:space="preserve"> </w:t>
      </w:r>
      <w:r>
        <w:t xml:space="preserve">“A unified approach to interpreting model predictions,”</w:t>
      </w:r>
      <w:r>
        <w:t xml:space="preserve"> </w:t>
      </w:r>
      <w:r>
        <w:rPr>
          <w:i/>
          <w:iCs/>
        </w:rPr>
        <w:t xml:space="preserve">Advances in Neural Information Processing Systems</w:t>
      </w:r>
      <w:r>
        <w:t xml:space="preserve">, 30, pp. 4765–4774. Available at:</w:t>
      </w:r>
      <w:r>
        <w:t xml:space="preserve"> </w:t>
      </w:r>
      <w:hyperlink r:id="rId176">
        <w:r>
          <w:rPr>
            <w:rStyle w:val="Hyperlink"/>
          </w:rPr>
          <w:t xml:space="preserve">https://papers.nips.cc/paper/7062-a-unified-approach-to-interpreting-model-predictions.pdf</w:t>
        </w:r>
      </w:hyperlink>
      <w:r>
        <w:t xml:space="preserve">.</w:t>
      </w:r>
    </w:p>
    <w:bookmarkEnd w:id="177"/>
    <w:bookmarkStart w:id="179" w:name="ref-Mann1947"/>
    <w:p>
      <w:pPr>
        <w:pStyle w:val="Bibliografia"/>
      </w:pPr>
      <w:r>
        <w:t xml:space="preserve">Mann, H.B. and Whitney, D.R. (1947)</w:t>
      </w:r>
      <w:r>
        <w:t xml:space="preserve"> </w:t>
      </w:r>
      <w:r>
        <w:t xml:space="preserve">“On a test of whether one of two random variables is stochastically larger than the other,”</w:t>
      </w:r>
      <w:r>
        <w:t xml:space="preserve"> </w:t>
      </w:r>
      <w:r>
        <w:rPr>
          <w:i/>
          <w:iCs/>
        </w:rPr>
        <w:t xml:space="preserve">The Annals of Mathematical Statistics</w:t>
      </w:r>
      <w:r>
        <w:t xml:space="preserve">, 18(1), pp. 50–60. Available at:</w:t>
      </w:r>
      <w:r>
        <w:t xml:space="preserve"> </w:t>
      </w:r>
      <w:hyperlink r:id="rId178">
        <w:r>
          <w:rPr>
            <w:rStyle w:val="Hyperlink"/>
          </w:rPr>
          <w:t xml:space="preserve">https://doi.org/10.1214/aoms/1177730491</w:t>
        </w:r>
      </w:hyperlink>
      <w:r>
        <w:t xml:space="preserve">.</w:t>
      </w:r>
    </w:p>
    <w:bookmarkEnd w:id="179"/>
    <w:bookmarkStart w:id="181" w:name="ref-Meena2024"/>
    <w:p>
      <w:pPr>
        <w:pStyle w:val="Bibliografia"/>
      </w:pPr>
      <w:r>
        <w:t xml:space="preserve">Meena, D., Chakraborty, S. and Mitra, J. (2024)</w:t>
      </w:r>
      <w:r>
        <w:t xml:space="preserve"> </w:t>
      </w:r>
      <w:r>
        <w:t xml:space="preserve">“Geographical origin identification of red chili powder using NIR spectroscopy combined with SIMCA and machine learning algorithms,”</w:t>
      </w:r>
      <w:r>
        <w:t xml:space="preserve"> </w:t>
      </w:r>
      <w:r>
        <w:rPr>
          <w:i/>
          <w:iCs/>
        </w:rPr>
        <w:t xml:space="preserve">Food Analytical Methods</w:t>
      </w:r>
      <w:r>
        <w:t xml:space="preserve">, 17(7), pp. 1005–1023. Available at:</w:t>
      </w:r>
      <w:r>
        <w:t xml:space="preserve"> </w:t>
      </w:r>
      <w:hyperlink r:id="rId180">
        <w:r>
          <w:rPr>
            <w:rStyle w:val="Hyperlink"/>
          </w:rPr>
          <w:t xml:space="preserve">https://doi.org/10.1007/s12161-024-02625-6</w:t>
        </w:r>
      </w:hyperlink>
      <w:r>
        <w:t xml:space="preserve">.</w:t>
      </w:r>
    </w:p>
    <w:bookmarkEnd w:id="181"/>
    <w:bookmarkStart w:id="183" w:name="ref-Mohammadi2024"/>
    <w:p>
      <w:pPr>
        <w:pStyle w:val="Bibliografia"/>
      </w:pPr>
      <w:r>
        <w:t xml:space="preserve">Mohammadi, N., Esteki, M. and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 190, pp. 115–886. Available at:</w:t>
      </w:r>
      <w:r>
        <w:t xml:space="preserve"> </w:t>
      </w:r>
      <w:hyperlink r:id="rId182">
        <w:r>
          <w:rPr>
            <w:rStyle w:val="Hyperlink"/>
          </w:rPr>
          <w:t xml:space="preserve">https://doi.org/10.1016/j.lwt.2024.115886</w:t>
        </w:r>
      </w:hyperlink>
      <w:r>
        <w:t xml:space="preserve">.</w:t>
      </w:r>
    </w:p>
    <w:bookmarkEnd w:id="183"/>
    <w:bookmarkStart w:id="185" w:name="ref-Moran2020"/>
    <w:p>
      <w:pPr>
        <w:pStyle w:val="Bibliografia"/>
      </w:pPr>
      <w:r>
        <w:t xml:space="preserve">Moran, T. and Tichava, J. (2020)</w:t>
      </w:r>
      <w:r>
        <w:t xml:space="preserve"> </w:t>
      </w:r>
      <w:r>
        <w:t xml:space="preserve">“The importance of external validation for climate impact models in agriculture,”</w:t>
      </w:r>
      <w:r>
        <w:t xml:space="preserve"> </w:t>
      </w:r>
      <w:r>
        <w:rPr>
          <w:i/>
          <w:iCs/>
        </w:rPr>
        <w:t xml:space="preserve">Agricultural Systems</w:t>
      </w:r>
      <w:r>
        <w:t xml:space="preserve">, 177, p. 104706. Available at:</w:t>
      </w:r>
      <w:r>
        <w:t xml:space="preserve"> </w:t>
      </w:r>
      <w:hyperlink r:id="rId184">
        <w:r>
          <w:rPr>
            <w:rStyle w:val="Hyperlink"/>
          </w:rPr>
          <w:t xml:space="preserve">https://doi.org/10.1016/j.agsy.2019.104706</w:t>
        </w:r>
      </w:hyperlink>
      <w:r>
        <w:t xml:space="preserve">.</w:t>
      </w:r>
    </w:p>
    <w:bookmarkEnd w:id="185"/>
    <w:bookmarkStart w:id="186"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 </w:t>
      </w:r>
      <w:r>
        <w:rPr>
          <w:i/>
          <w:iCs/>
        </w:rPr>
        <w:t xml:space="preserve">BMC Medical Research Methodology</w:t>
      </w:r>
      <w:r>
        <w:t xml:space="preserve">, 18(1), p. 143.</w:t>
      </w:r>
    </w:p>
    <w:bookmarkEnd w:id="186"/>
    <w:bookmarkStart w:id="188"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 </w:t>
      </w:r>
      <w:r>
        <w:rPr>
          <w:i/>
          <w:iCs/>
        </w:rPr>
        <w:t xml:space="preserve">Science</w:t>
      </w:r>
      <w:r>
        <w:t xml:space="preserve">, 348(6242), pp. 1422–1425. Available at:</w:t>
      </w:r>
      <w:r>
        <w:t xml:space="preserve"> </w:t>
      </w:r>
      <w:hyperlink r:id="rId187">
        <w:r>
          <w:rPr>
            <w:rStyle w:val="Hyperlink"/>
          </w:rPr>
          <w:t xml:space="preserve">https://doi.org/10.1126/science.aab2374</w:t>
        </w:r>
      </w:hyperlink>
      <w:r>
        <w:t xml:space="preserve">.</w:t>
      </w:r>
    </w:p>
    <w:bookmarkEnd w:id="188"/>
    <w:bookmarkStart w:id="190"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 </w:t>
      </w:r>
      <w:r>
        <w:rPr>
          <w:i/>
          <w:iCs/>
        </w:rPr>
        <w:t xml:space="preserve">Artificial Intelligence Review</w:t>
      </w:r>
      <w:r>
        <w:t xml:space="preserve"> </w:t>
      </w:r>
      <w:r>
        <w:t xml:space="preserve">[Preprint]. Available at:</w:t>
      </w:r>
      <w:r>
        <w:t xml:space="preserve"> </w:t>
      </w:r>
      <w:hyperlink r:id="rId189">
        <w:r>
          <w:rPr>
            <w:rStyle w:val="Hyperlink"/>
          </w:rPr>
          <w:t xml:space="preserve">https://doi.org/10.1007/s10462-024-10844-w</w:t>
        </w:r>
      </w:hyperlink>
      <w:r>
        <w:t xml:space="preserve">.</w:t>
      </w:r>
    </w:p>
    <w:bookmarkEnd w:id="190"/>
    <w:bookmarkStart w:id="192"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 </w:t>
      </w:r>
      <w:r>
        <w:rPr>
          <w:i/>
          <w:iCs/>
        </w:rPr>
        <w:t xml:space="preserve">International Journal of Applied Earth Observation and Geoinformation</w:t>
      </w:r>
      <w:r>
        <w:t xml:space="preserve">, 102, p. 102456. Available at:</w:t>
      </w:r>
      <w:r>
        <w:t xml:space="preserve"> </w:t>
      </w:r>
      <w:hyperlink r:id="rId191">
        <w:r>
          <w:rPr>
            <w:rStyle w:val="Hyperlink"/>
          </w:rPr>
          <w:t xml:space="preserve">https://doi.org/10.1016/j.jag.2021.102456</w:t>
        </w:r>
      </w:hyperlink>
      <w:r>
        <w:t xml:space="preserve">.</w:t>
      </w:r>
    </w:p>
    <w:bookmarkEnd w:id="192"/>
    <w:bookmarkStart w:id="193" w:name="ref-Pareto1896"/>
    <w:p>
      <w:pPr>
        <w:pStyle w:val="Bibliografia"/>
      </w:pPr>
      <w:r>
        <w:t xml:space="preserve">Pareto, V. (1896)</w:t>
      </w:r>
      <w:r>
        <w:t xml:space="preserve"> </w:t>
      </w:r>
      <w:r>
        <w:rPr>
          <w:i/>
          <w:iCs/>
        </w:rPr>
        <w:t xml:space="preserve">Cours d’économie politique</w:t>
      </w:r>
      <w:r>
        <w:t xml:space="preserve">. Lausanne: F. Rouge.</w:t>
      </w:r>
    </w:p>
    <w:bookmarkEnd w:id="193"/>
    <w:bookmarkStart w:id="195"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 </w:t>
      </w:r>
      <w:r>
        <w:rPr>
          <w:i/>
          <w:iCs/>
        </w:rPr>
        <w:t xml:space="preserve">Food Chemistry: X</w:t>
      </w:r>
      <w:r>
        <w:t xml:space="preserve">, 31. Available at:</w:t>
      </w:r>
      <w:r>
        <w:t xml:space="preserve"> </w:t>
      </w:r>
      <w:hyperlink r:id="rId194">
        <w:r>
          <w:rPr>
            <w:rStyle w:val="Hyperlink"/>
          </w:rPr>
          <w:t xml:space="preserve">https://doi.org/10.1016/j.fochx.2025.103194</w:t>
        </w:r>
      </w:hyperlink>
      <w:r>
        <w:t xml:space="preserve">.</w:t>
      </w:r>
    </w:p>
    <w:bookmarkEnd w:id="195"/>
    <w:bookmarkStart w:id="196"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 46(4), pp. 529–546.</w:t>
      </w:r>
    </w:p>
    <w:bookmarkEnd w:id="196"/>
    <w:bookmarkStart w:id="198"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97">
        <w:r>
          <w:rPr>
            <w:rStyle w:val="Hyperlink"/>
          </w:rPr>
          <w:t xml:space="preserve">https://doi.org/10.1016/j.compag.2020.105942</w:t>
        </w:r>
      </w:hyperlink>
      <w:r>
        <w:t xml:space="preserve">.</w:t>
      </w:r>
    </w:p>
    <w:bookmarkEnd w:id="198"/>
    <w:bookmarkStart w:id="200"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 </w:t>
      </w:r>
      <w:r>
        <w:rPr>
          <w:i/>
          <w:iCs/>
        </w:rPr>
        <w:t xml:space="preserve">Current Chemistry and Hydrogen Energy</w:t>
      </w:r>
      <w:r>
        <w:t xml:space="preserve">, 10(3), pp. 241–259. Available at:</w:t>
      </w:r>
      <w:r>
        <w:t xml:space="preserve"> </w:t>
      </w:r>
      <w:hyperlink r:id="rId199">
        <w:r>
          <w:rPr>
            <w:rStyle w:val="Hyperlink"/>
          </w:rPr>
          <w:t xml:space="preserve">https://doi.org/10.2174/1386207324666210309102239</w:t>
        </w:r>
      </w:hyperlink>
      <w:r>
        <w:t xml:space="preserve">.</w:t>
      </w:r>
    </w:p>
    <w:bookmarkEnd w:id="200"/>
    <w:bookmarkStart w:id="202" w:name="ref-Rodriguez2023"/>
    <w:p>
      <w:pPr>
        <w:pStyle w:val="Bibliografia"/>
      </w:pPr>
      <w:r>
        <w:t xml:space="preserve">Rodriguez, J., Silva, M. and Chen, W. (2023)</w:t>
      </w:r>
      <w:r>
        <w:t xml:space="preserve"> </w:t>
      </w:r>
      <w:r>
        <w:t xml:space="preserve">“Advances in machine learning for geographical indication authentication,”</w:t>
      </w:r>
      <w:r>
        <w:t xml:space="preserve"> </w:t>
      </w:r>
      <w:r>
        <w:rPr>
          <w:i/>
          <w:iCs/>
        </w:rPr>
        <w:t xml:space="preserve">Food Control</w:t>
      </w:r>
      <w:r>
        <w:t xml:space="preserve">, 145, p. 109421. Available at:</w:t>
      </w:r>
      <w:r>
        <w:t xml:space="preserve"> </w:t>
      </w:r>
      <w:hyperlink r:id="rId201">
        <w:r>
          <w:rPr>
            <w:rStyle w:val="Hyperlink"/>
          </w:rPr>
          <w:t xml:space="preserve">https://doi.org/10.1016/j.foodcont.2022.109421</w:t>
        </w:r>
      </w:hyperlink>
      <w:r>
        <w:t xml:space="preserve">.</w:t>
      </w:r>
    </w:p>
    <w:bookmarkEnd w:id="202"/>
    <w:bookmarkStart w:id="204"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203">
        <w:r>
          <w:rPr>
            <w:rStyle w:val="Hyperlink"/>
          </w:rPr>
          <w:t xml:space="preserve">https://doi.org/10.1038/s42256-019-0048-x</w:t>
        </w:r>
      </w:hyperlink>
      <w:r>
        <w:t xml:space="preserve">.</w:t>
      </w:r>
    </w:p>
    <w:bookmarkEnd w:id="204"/>
    <w:bookmarkStart w:id="205"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5"/>
    <w:bookmarkStart w:id="206"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 </w:t>
      </w:r>
      <w:r>
        <w:rPr>
          <w:i/>
          <w:iCs/>
        </w:rPr>
        <w:t xml:space="preserve">International Journal of Advanced Computer Science and Applications</w:t>
      </w:r>
      <w:r>
        <w:t xml:space="preserve">, 12(6), pp. 95–112.</w:t>
      </w:r>
    </w:p>
    <w:bookmarkEnd w:id="206"/>
    <w:bookmarkStart w:id="208"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207">
        <w:r>
          <w:rPr>
            <w:rStyle w:val="Hyperlink"/>
          </w:rPr>
          <w:t xml:space="preserve">https://doi.org/10.22237/jmasm/1257035100</w:t>
        </w:r>
      </w:hyperlink>
      <w:r>
        <w:t xml:space="preserve">.</w:t>
      </w:r>
    </w:p>
    <w:bookmarkEnd w:id="208"/>
    <w:bookmarkStart w:id="210" w:name="ref-Schoch2020"/>
    <w:p>
      <w:pPr>
        <w:pStyle w:val="Bibliografia"/>
      </w:pPr>
      <w:r>
        <w:t xml:space="preserve">Schoch, D. (2020)</w:t>
      </w:r>
      <w:r>
        <w:t xml:space="preserve"> </w:t>
      </w:r>
      <w:r>
        <w:t xml:space="preserve">“Ggraph: An implementation of grammar of graphics for graphs and networks,”</w:t>
      </w:r>
      <w:r>
        <w:t xml:space="preserve"> </w:t>
      </w:r>
      <w:r>
        <w:rPr>
          <w:i/>
          <w:iCs/>
        </w:rPr>
        <w:t xml:space="preserve">Journal of Open Source Software</w:t>
      </w:r>
      <w:r>
        <w:t xml:space="preserve">, 5(55), p. 2341. Available at:</w:t>
      </w:r>
      <w:r>
        <w:t xml:space="preserve"> </w:t>
      </w:r>
      <w:hyperlink r:id="rId209">
        <w:r>
          <w:rPr>
            <w:rStyle w:val="Hyperlink"/>
          </w:rPr>
          <w:t xml:space="preserve">https://doi.org/10.21105/joss.02341</w:t>
        </w:r>
      </w:hyperlink>
      <w:r>
        <w:t xml:space="preserve">.</w:t>
      </w:r>
    </w:p>
    <w:bookmarkEnd w:id="210"/>
    <w:bookmarkStart w:id="212"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 </w:t>
      </w:r>
      <w:r>
        <w:rPr>
          <w:i/>
          <w:iCs/>
        </w:rPr>
        <w:t xml:space="preserve">Remote Sensing</w:t>
      </w:r>
      <w:r>
        <w:t xml:space="preserve">, 11(8). Available at:</w:t>
      </w:r>
      <w:r>
        <w:t xml:space="preserve"> </w:t>
      </w:r>
      <w:hyperlink r:id="rId211">
        <w:r>
          <w:rPr>
            <w:rStyle w:val="Hyperlink"/>
          </w:rPr>
          <w:t xml:space="preserve">https://doi.org/10.3390/rs11080920</w:t>
        </w:r>
      </w:hyperlink>
      <w:r>
        <w:t xml:space="preserve">.</w:t>
      </w:r>
    </w:p>
    <w:bookmarkEnd w:id="212"/>
    <w:bookmarkStart w:id="214" w:name="ref-Shapiro1965"/>
    <w:p>
      <w:pPr>
        <w:pStyle w:val="Bibliografia"/>
      </w:pPr>
      <w:r>
        <w:t xml:space="preserve">Shapiro, S.S. and Wilk, M.B. (1965)</w:t>
      </w:r>
      <w:r>
        <w:t xml:space="preserve"> </w:t>
      </w:r>
      <w:r>
        <w:t xml:space="preserve">“An analysis of variance test for normality (complete samples),”</w:t>
      </w:r>
      <w:r>
        <w:t xml:space="preserve"> </w:t>
      </w:r>
      <w:r>
        <w:rPr>
          <w:i/>
          <w:iCs/>
        </w:rPr>
        <w:t xml:space="preserve">Biometrika</w:t>
      </w:r>
      <w:r>
        <w:t xml:space="preserve">, 52(3-4), pp. 591–611. Available at:</w:t>
      </w:r>
      <w:r>
        <w:t xml:space="preserve"> </w:t>
      </w:r>
      <w:hyperlink r:id="rId213">
        <w:r>
          <w:rPr>
            <w:rStyle w:val="Hyperlink"/>
          </w:rPr>
          <w:t xml:space="preserve">https://doi.org/10.1093/biomet/52.3-4.591</w:t>
        </w:r>
      </w:hyperlink>
      <w:r>
        <w:t xml:space="preserve">.</w:t>
      </w:r>
    </w:p>
    <w:bookmarkEnd w:id="214"/>
    <w:bookmarkStart w:id="216" w:name="ref-shrout1979"/>
    <w:p>
      <w:pPr>
        <w:pStyle w:val="Bibliografia"/>
      </w:pPr>
      <w:r>
        <w:t xml:space="preserve">Shrout, P.E. and Fleiss, J.L. (1979)</w:t>
      </w:r>
      <w:r>
        <w:t xml:space="preserve"> </w:t>
      </w:r>
      <w:r>
        <w:t xml:space="preserve">“Intraclass correlations: Uses in assessing rater reliability,”</w:t>
      </w:r>
      <w:r>
        <w:t xml:space="preserve"> </w:t>
      </w:r>
      <w:r>
        <w:rPr>
          <w:i/>
          <w:iCs/>
        </w:rPr>
        <w:t xml:space="preserve">Psychological Bulletin</w:t>
      </w:r>
      <w:r>
        <w:t xml:space="preserve">, 86(2), pp. 420–428. Available at:</w:t>
      </w:r>
      <w:r>
        <w:t xml:space="preserve"> </w:t>
      </w:r>
      <w:hyperlink r:id="rId215">
        <w:r>
          <w:rPr>
            <w:rStyle w:val="Hyperlink"/>
          </w:rPr>
          <w:t xml:space="preserve">https://doi.org/10.1037/0033-2909.86.2.420</w:t>
        </w:r>
      </w:hyperlink>
      <w:r>
        <w:t xml:space="preserve">.</w:t>
      </w:r>
    </w:p>
    <w:bookmarkEnd w:id="216"/>
    <w:bookmarkStart w:id="218" w:name="ref-Santos2007Epistemologies"/>
    <w:p>
      <w:pPr>
        <w:pStyle w:val="Bibliografia"/>
      </w:pPr>
      <w:r>
        <w:t xml:space="preserve">Sousa Santos, B. de (2007)</w:t>
      </w:r>
      <w:r>
        <w:t xml:space="preserve"> </w:t>
      </w:r>
      <w:r>
        <w:t xml:space="preserve">“Beyond abyssal thinking: From global lines to ecologies of knowledges,”</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pp. 3–46. Available at:</w:t>
      </w:r>
      <w:r>
        <w:t xml:space="preserve"> </w:t>
      </w:r>
      <w:hyperlink r:id="rId217">
        <w:r>
          <w:rPr>
            <w:rStyle w:val="Hyperlink"/>
          </w:rPr>
          <w:t xml:space="preserve">https://ces.uc.pt/publicacoes/santos_beyond_abyssal_thinking.pdf</w:t>
        </w:r>
      </w:hyperlink>
      <w:r>
        <w:t xml:space="preserve">.</w:t>
      </w:r>
    </w:p>
    <w:bookmarkEnd w:id="218"/>
    <w:bookmarkStart w:id="220"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219">
        <w:r>
          <w:rPr>
            <w:rStyle w:val="Hyperlink"/>
          </w:rPr>
          <w:t xml:space="preserve">https://doi.org/10.2307/1412159</w:t>
        </w:r>
      </w:hyperlink>
      <w:r>
        <w:t xml:space="preserve">.</w:t>
      </w:r>
    </w:p>
    <w:bookmarkEnd w:id="220"/>
    <w:bookmarkStart w:id="222"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 </w:t>
      </w:r>
      <w:r>
        <w:rPr>
          <w:i/>
          <w:iCs/>
        </w:rPr>
        <w:t xml:space="preserve">Foods</w:t>
      </w:r>
      <w:r>
        <w:t xml:space="preserve">, 13(1), p. 3. Available at:</w:t>
      </w:r>
      <w:r>
        <w:t xml:space="preserve"> </w:t>
      </w:r>
      <w:hyperlink r:id="rId221">
        <w:r>
          <w:rPr>
            <w:rStyle w:val="Hyperlink"/>
          </w:rPr>
          <w:t xml:space="preserve">https://doi.org/10.3390/foods13010003</w:t>
        </w:r>
      </w:hyperlink>
      <w:r>
        <w:t xml:space="preserve">.</w:t>
      </w:r>
    </w:p>
    <w:bookmarkEnd w:id="222"/>
    <w:bookmarkStart w:id="223" w:name="ref-streiner2008health"/>
    <w:p>
      <w:pPr>
        <w:pStyle w:val="Bibliografia"/>
      </w:pPr>
      <w:r>
        <w:t xml:space="preserve">Streiner, D.L. and Norman, G.R. (2008)</w:t>
      </w:r>
      <w:r>
        <w:t xml:space="preserve"> </w:t>
      </w:r>
      <w:r>
        <w:rPr>
          <w:i/>
          <w:iCs/>
        </w:rPr>
        <w:t xml:space="preserve">Health measurement scales: A practical guide to their development and use</w:t>
      </w:r>
      <w:r>
        <w:t xml:space="preserve">. 4th ed. Oxford: Oxford University Press.</w:t>
      </w:r>
    </w:p>
    <w:bookmarkEnd w:id="223"/>
    <w:bookmarkStart w:id="225"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224">
        <w:r>
          <w:rPr>
            <w:rStyle w:val="Hyperlink"/>
          </w:rPr>
          <w:t xml:space="preserve">https://doi.org/10.2307/2331554</w:t>
        </w:r>
      </w:hyperlink>
      <w:r>
        <w:t xml:space="preserve">.</w:t>
      </w:r>
    </w:p>
    <w:bookmarkEnd w:id="225"/>
    <w:bookmarkStart w:id="226" w:name="ref-Likert3vs5_2025"/>
    <w:p>
      <w:pPr>
        <w:pStyle w:val="Bibliografia"/>
      </w:pPr>
      <w:r>
        <w:t xml:space="preserve">Surname, A. and Surname, A. (2025)</w:t>
      </w:r>
      <w:r>
        <w:t xml:space="preserve"> </w:t>
      </w:r>
      <w:r>
        <w:t xml:space="preserve">“A comparative study of 3-point and 5-point likert scales,”</w:t>
      </w:r>
      <w:r>
        <w:t xml:space="preserve"> </w:t>
      </w:r>
      <w:r>
        <w:rPr>
          <w:i/>
          <w:iCs/>
        </w:rPr>
        <w:t xml:space="preserve">Science Scholar</w:t>
      </w:r>
      <w:r>
        <w:t xml:space="preserve"> </w:t>
      </w:r>
      <w:r>
        <w:t xml:space="preserve">[Preprint].</w:t>
      </w:r>
    </w:p>
    <w:bookmarkEnd w:id="226"/>
    <w:bookmarkStart w:id="228"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Available at:</w:t>
      </w:r>
      <w:r>
        <w:t xml:space="preserve"> </w:t>
      </w:r>
      <w:hyperlink r:id="rId227">
        <w:r>
          <w:rPr>
            <w:rStyle w:val="Hyperlink"/>
          </w:rPr>
          <w:t xml:space="preserve">https://www.R-project.org/</w:t>
        </w:r>
      </w:hyperlink>
      <w:r>
        <w:t xml:space="preserve">.</w:t>
      </w:r>
    </w:p>
    <w:bookmarkEnd w:id="228"/>
    <w:bookmarkStart w:id="230" w:name="ref-Thompson2002"/>
    <w:p>
      <w:pPr>
        <w:pStyle w:val="Bibliografia"/>
      </w:pPr>
      <w:r>
        <w:t xml:space="preserve">Thompson, S.G. and Higgins, J.P.T. (2002)</w:t>
      </w:r>
      <w:r>
        <w:t xml:space="preserve"> </w:t>
      </w:r>
      <w:r>
        <w:t xml:space="preserve">“How should meta-regression analyses be undertaken and interpreted?”</w:t>
      </w:r>
      <w:r>
        <w:t xml:space="preserve"> </w:t>
      </w:r>
      <w:r>
        <w:rPr>
          <w:i/>
          <w:iCs/>
        </w:rPr>
        <w:t xml:space="preserve">Statistics in Medicine</w:t>
      </w:r>
      <w:r>
        <w:t xml:space="preserve">, 21(11), pp. 1559–1573. Available at:</w:t>
      </w:r>
      <w:r>
        <w:t xml:space="preserve"> </w:t>
      </w:r>
      <w:hyperlink r:id="rId229">
        <w:r>
          <w:rPr>
            <w:rStyle w:val="Hyperlink"/>
          </w:rPr>
          <w:t xml:space="preserve">https://doi.org/10.1002/sim.1187</w:t>
        </w:r>
      </w:hyperlink>
      <w:r>
        <w:t xml:space="preserve">.</w:t>
      </w:r>
    </w:p>
    <w:bookmarkEnd w:id="230"/>
    <w:bookmarkStart w:id="232"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231">
        <w:r>
          <w:rPr>
            <w:rStyle w:val="Hyperlink"/>
          </w:rPr>
          <w:t xml:space="preserve">https://doi.org/10.5281/zenodo.1480624</w:t>
        </w:r>
      </w:hyperlink>
      <w:r>
        <w:t xml:space="preserve">.</w:t>
      </w:r>
    </w:p>
    <w:bookmarkEnd w:id="232"/>
    <w:bookmarkStart w:id="233" w:name="ref-tranfield2003"/>
    <w:p>
      <w:pPr>
        <w:pStyle w:val="Bibliografia"/>
      </w:pPr>
      <w:r>
        <w:t xml:space="preserve">Tranfield, D., Denyer, D. and Smart, P. (2003)</w:t>
      </w:r>
      <w:r>
        <w:t xml:space="preserve"> </w:t>
      </w:r>
      <w:r>
        <w:t xml:space="preserve">“Towards a methodology for developing evidence-informed management knowledge by means of systematic review,”</w:t>
      </w:r>
      <w:r>
        <w:t xml:space="preserve"> </w:t>
      </w:r>
      <w:r>
        <w:rPr>
          <w:i/>
          <w:iCs/>
        </w:rPr>
        <w:t xml:space="preserve">British Journal of Management</w:t>
      </w:r>
      <w:r>
        <w:t xml:space="preserve">, 14(3), pp. 207–222.</w:t>
      </w:r>
    </w:p>
    <w:bookmarkEnd w:id="233"/>
    <w:bookmarkStart w:id="234"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w:t>
      </w:r>
    </w:p>
    <w:bookmarkEnd w:id="234"/>
    <w:bookmarkStart w:id="236"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 Available at:</w:t>
      </w:r>
      <w:r>
        <w:t xml:space="preserve"> </w:t>
      </w:r>
      <w:hyperlink r:id="rId235">
        <w:r>
          <w:rPr>
            <w:rStyle w:val="Hyperlink"/>
          </w:rPr>
          <w:t xml:space="preserve">https://doi.org/10.7326/M18-0850</w:t>
        </w:r>
      </w:hyperlink>
      <w:r>
        <w:t xml:space="preserve">.</w:t>
      </w:r>
    </w:p>
    <w:bookmarkEnd w:id="236"/>
    <w:bookmarkStart w:id="238"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 </w:t>
      </w:r>
      <w:r>
        <w:rPr>
          <w:i/>
          <w:iCs/>
        </w:rPr>
        <w:t xml:space="preserve">Scientific Reports</w:t>
      </w:r>
      <w:r>
        <w:t xml:space="preserve">, 11(1). Available at:</w:t>
      </w:r>
      <w:r>
        <w:t xml:space="preserve"> </w:t>
      </w:r>
      <w:hyperlink r:id="rId237">
        <w:r>
          <w:rPr>
            <w:rStyle w:val="Hyperlink"/>
          </w:rPr>
          <w:t xml:space="preserve">https://doi.org/10.1038/s41598-021-82306-0</w:t>
        </w:r>
      </w:hyperlink>
      <w:r>
        <w:t xml:space="preserve">.</w:t>
      </w:r>
    </w:p>
    <w:bookmarkEnd w:id="238"/>
    <w:bookmarkStart w:id="239"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39"/>
    <w:bookmarkStart w:id="241"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240">
        <w:r>
          <w:rPr>
            <w:rStyle w:val="Hyperlink"/>
          </w:rPr>
          <w:t xml:space="preserve">https://doi.org/10.18637/jss.v036.i03</w:t>
        </w:r>
      </w:hyperlink>
      <w:r>
        <w:t xml:space="preserve">.</w:t>
      </w:r>
    </w:p>
    <w:bookmarkEnd w:id="241"/>
    <w:bookmarkStart w:id="243"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 </w:t>
      </w:r>
      <w:r>
        <w:rPr>
          <w:i/>
          <w:iCs/>
        </w:rPr>
        <w:t xml:space="preserve">Ecological Modelling</w:t>
      </w:r>
      <w:r>
        <w:t xml:space="preserve">, 457, p. 109692. Available at:</w:t>
      </w:r>
      <w:r>
        <w:t xml:space="preserve"> </w:t>
      </w:r>
      <w:hyperlink r:id="rId242">
        <w:r>
          <w:rPr>
            <w:rStyle w:val="Hyperlink"/>
          </w:rPr>
          <w:t xml:space="preserve">https://doi.org/10.1016/j.ecolmodel.2021.109692</w:t>
        </w:r>
      </w:hyperlink>
      <w:r>
        <w:t xml:space="preserve">.</w:t>
      </w:r>
    </w:p>
    <w:bookmarkEnd w:id="243"/>
    <w:bookmarkStart w:id="245"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 </w:t>
      </w:r>
      <w:r>
        <w:rPr>
          <w:i/>
          <w:iCs/>
        </w:rPr>
        <w:t xml:space="preserve">Food Chemistry: X</w:t>
      </w:r>
      <w:r>
        <w:t xml:space="preserve">, 31. Available at:</w:t>
      </w:r>
      <w:r>
        <w:t xml:space="preserve"> </w:t>
      </w:r>
      <w:hyperlink r:id="rId244">
        <w:r>
          <w:rPr>
            <w:rStyle w:val="Hyperlink"/>
          </w:rPr>
          <w:t xml:space="preserve">https://doi.org/10.1016/j.fochx.2025.103069</w:t>
        </w:r>
      </w:hyperlink>
      <w:r>
        <w:t xml:space="preserve">.</w:t>
      </w:r>
    </w:p>
    <w:bookmarkEnd w:id="245"/>
    <w:bookmarkStart w:id="246" w:name="ref-webster2002"/>
    <w:p>
      <w:pPr>
        <w:pStyle w:val="Bibliografia"/>
      </w:pPr>
      <w:r>
        <w:t xml:space="preserve">Webster, J. and Watson, R.T. (2002)</w:t>
      </w:r>
      <w:r>
        <w:t xml:space="preserve"> </w:t>
      </w:r>
      <w:r>
        <w:t xml:space="preserve">“Analyzing the past to prepare for the future: Writing a literature review,”</w:t>
      </w:r>
      <w:r>
        <w:t xml:space="preserve"> </w:t>
      </w:r>
      <w:r>
        <w:rPr>
          <w:i/>
          <w:iCs/>
        </w:rPr>
        <w:t xml:space="preserve">MIS Quarterly</w:t>
      </w:r>
      <w:r>
        <w:t xml:space="preserve">, 26(2), pp. xiii–xxiii.</w:t>
      </w:r>
    </w:p>
    <w:bookmarkEnd w:id="246"/>
    <w:bookmarkStart w:id="248"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247">
        <w:r>
          <w:rPr>
            <w:rStyle w:val="Hyperlink"/>
          </w:rPr>
          <w:t xml:space="preserve">https://ggplot2.tidyverse.org</w:t>
        </w:r>
      </w:hyperlink>
      <w:r>
        <w:t xml:space="preserve">.</w:t>
      </w:r>
    </w:p>
    <w:bookmarkEnd w:id="248"/>
    <w:bookmarkStart w:id="249" w:name="ref-Wilkinson2021"/>
    <w:p>
      <w:pPr>
        <w:pStyle w:val="Bibliografia"/>
      </w:pPr>
      <w:r>
        <w:t xml:space="preserve">Wilkinson, L. (2021)</w:t>
      </w:r>
      <w:r>
        <w:t xml:space="preserve"> </w:t>
      </w:r>
      <w:r>
        <w:t xml:space="preserve">“The grammar of graphics,”</w:t>
      </w:r>
      <w:r>
        <w:t xml:space="preserve"> </w:t>
      </w:r>
      <w:r>
        <w:rPr>
          <w:i/>
          <w:iCs/>
        </w:rPr>
        <w:t xml:space="preserve">Springer Series in Statistics</w:t>
      </w:r>
      <w:r>
        <w:t xml:space="preserve"> </w:t>
      </w:r>
      <w:r>
        <w:t xml:space="preserve">[Preprint]. 2nd ed.</w:t>
      </w:r>
    </w:p>
    <w:bookmarkEnd w:id="249"/>
    <w:bookmarkStart w:id="251" w:name="ref-Wilkinson2016"/>
    <w:p>
      <w:pPr>
        <w:pStyle w:val="Bibliografia"/>
      </w:pPr>
      <w:r>
        <w:t xml:space="preserve">Wilkinson, M.D.</w:t>
      </w:r>
      <w:r>
        <w:t xml:space="preserve"> </w:t>
      </w:r>
      <w:r>
        <w:rPr>
          <w:i/>
          <w:iCs/>
        </w:rPr>
        <w:t xml:space="preserve">et al.</w:t>
      </w:r>
      <w:r>
        <w:t xml:space="preserve"> </w:t>
      </w:r>
      <w:r>
        <w:t xml:space="preserve">(2016)</w:t>
      </w:r>
      <w:r>
        <w:t xml:space="preserve"> </w:t>
      </w:r>
      <w:r>
        <w:t xml:space="preserve">“The FAIR guiding principles for scientific data management and stewardship,”</w:t>
      </w:r>
      <w:r>
        <w:t xml:space="preserve"> </w:t>
      </w:r>
      <w:r>
        <w:rPr>
          <w:i/>
          <w:iCs/>
        </w:rPr>
        <w:t xml:space="preserve">Scientific Data</w:t>
      </w:r>
      <w:r>
        <w:t xml:space="preserve">, 3, p. 160018. Available at:</w:t>
      </w:r>
      <w:r>
        <w:t xml:space="preserve"> </w:t>
      </w:r>
      <w:hyperlink r:id="rId250">
        <w:r>
          <w:rPr>
            <w:rStyle w:val="Hyperlink"/>
          </w:rPr>
          <w:t xml:space="preserve">https://doi.org/10.1038/sdata.2016.18</w:t>
        </w:r>
      </w:hyperlink>
      <w:r>
        <w:t xml:space="preserve">.</w:t>
      </w:r>
    </w:p>
    <w:bookmarkEnd w:id="251"/>
    <w:bookmarkStart w:id="253" w:name="ref-WorldBank2014AgData"/>
    <w:p>
      <w:pPr>
        <w:pStyle w:val="Bibliografia"/>
      </w:pPr>
      <w:r>
        <w:t xml:space="preserve">World Bank (2014)</w:t>
      </w:r>
      <w:r>
        <w:t xml:space="preserve"> </w:t>
      </w:r>
      <w:r>
        <w:t xml:space="preserve">“Open data for agriculture and nutrition,”</w:t>
      </w:r>
      <w:r>
        <w:t xml:space="preserve"> </w:t>
      </w:r>
      <w:r>
        <w:rPr>
          <w:i/>
          <w:iCs/>
        </w:rPr>
        <w:t xml:space="preserve">World Bank Report</w:t>
      </w:r>
      <w:r>
        <w:t xml:space="preserve"> </w:t>
      </w:r>
      <w:r>
        <w:t xml:space="preserve">[Preprint]. Available at:</w:t>
      </w:r>
      <w:r>
        <w:t xml:space="preserve"> </w:t>
      </w:r>
      <w:hyperlink r:id="rId252">
        <w:r>
          <w:rPr>
            <w:rStyle w:val="Hyperlink"/>
          </w:rPr>
          <w:t xml:space="preserve">https://www.worldbank.org/en/topic/agriculture/brief/open-data-for-agriculture</w:t>
        </w:r>
      </w:hyperlink>
      <w:r>
        <w:t xml:space="preserve">.</w:t>
      </w:r>
    </w:p>
    <w:bookmarkEnd w:id="253"/>
    <w:bookmarkStart w:id="255"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254">
        <w:r>
          <w:rPr>
            <w:rStyle w:val="Hyperlink"/>
          </w:rPr>
          <w:t xml:space="preserve">https://doi.org/10.34667/tind.42184</w:t>
        </w:r>
      </w:hyperlink>
      <w:r>
        <w:t xml:space="preserve">.</w:t>
      </w:r>
    </w:p>
    <w:bookmarkEnd w:id="255"/>
    <w:bookmarkStart w:id="257"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256">
        <w:r>
          <w:rPr>
            <w:rStyle w:val="Hyperlink"/>
          </w:rPr>
          <w:t xml:space="preserve">https://www.wto.org/english/docs_e/legal_e/27-trips.pdf</w:t>
        </w:r>
      </w:hyperlink>
      <w:r>
        <w:t xml:space="preserve">.</w:t>
      </w:r>
    </w:p>
    <w:bookmarkEnd w:id="257"/>
    <w:bookmarkStart w:id="259"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 5(1), p. 18. Available at:</w:t>
      </w:r>
      <w:r>
        <w:t xml:space="preserve"> </w:t>
      </w:r>
      <w:hyperlink r:id="rId258">
        <w:r>
          <w:rPr>
            <w:rStyle w:val="Hyperlink"/>
          </w:rPr>
          <w:t xml:space="preserve">https://doi.org/10.1038/s41538-021-00100-8</w:t>
        </w:r>
      </w:hyperlink>
      <w:r>
        <w:t xml:space="preserve">.</w:t>
      </w:r>
    </w:p>
    <w:bookmarkEnd w:id="259"/>
    <w:bookmarkStart w:id="261" w:name="ref-Young2019"/>
    <w:p>
      <w:pPr>
        <w:pStyle w:val="Bibliografia"/>
      </w:pPr>
      <w:r>
        <w:t xml:space="preserve">Young, I.J.B., Luz, S. and Lone, N. (2019)</w:t>
      </w:r>
      <w:r>
        <w:t xml:space="preserve"> </w:t>
      </w:r>
      <w:r>
        <w:t xml:space="preserve">“A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 132, p. 103971. Available at:</w:t>
      </w:r>
      <w:r>
        <w:t xml:space="preserve"> </w:t>
      </w:r>
      <w:hyperlink r:id="rId260">
        <w:r>
          <w:rPr>
            <w:rStyle w:val="Hyperlink"/>
          </w:rPr>
          <w:t xml:space="preserve">https://doi.org/10.1016/j.ijmedinf.2019.08.018</w:t>
        </w:r>
      </w:hyperlink>
      <w:r>
        <w:t xml:space="preserve">.</w:t>
      </w:r>
    </w:p>
    <w:bookmarkEnd w:id="261"/>
    <w:bookmarkEnd w:id="262"/>
    <w:bookmarkEnd w:id="263"/>
    <w:bookmarkEnd w:id="264"/>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26" Target="http://data.europa.eu/eli/reg/2012/1151/oj" TargetMode="External" /><Relationship Type="http://schemas.openxmlformats.org/officeDocument/2006/relationships/hyperlink" Id="rId217"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9"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6" Target="https://doi.org/10.1007/s100219900037" TargetMode="External" /><Relationship Type="http://schemas.openxmlformats.org/officeDocument/2006/relationships/hyperlink" Id="rId189" Target="https://doi.org/10.1007/s10462-024-10844-w" TargetMode="External" /><Relationship Type="http://schemas.openxmlformats.org/officeDocument/2006/relationships/hyperlink" Id="rId180"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4"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7"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2" Target="https://doi.org/10.1016/j.ecolmodel.2021.109692" TargetMode="External" /><Relationship Type="http://schemas.openxmlformats.org/officeDocument/2006/relationships/hyperlink" Id="rId244" Target="https://doi.org/10.1016/j.fochx.2025.103069" TargetMode="External" /><Relationship Type="http://schemas.openxmlformats.org/officeDocument/2006/relationships/hyperlink" Id="rId194" Target="https://doi.org/10.1016/j.fochx.2025.103194" TargetMode="External" /><Relationship Type="http://schemas.openxmlformats.org/officeDocument/2006/relationships/hyperlink" Id="rId201" Target="https://doi.org/10.1016/j.foodcont.2022.109421" TargetMode="External" /><Relationship Type="http://schemas.openxmlformats.org/officeDocument/2006/relationships/hyperlink" Id="rId260" Target="https://doi.org/10.1016/j.ijmedinf.2019.08.018" TargetMode="External" /><Relationship Type="http://schemas.openxmlformats.org/officeDocument/2006/relationships/hyperlink" Id="rId191"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2"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2" Target="https://doi.org/10.1021/bk-2005-0894.ch001" TargetMode="External" /><Relationship Type="http://schemas.openxmlformats.org/officeDocument/2006/relationships/hyperlink" Id="rId215" Target="https://doi.org/10.1037/0033-2909.86.2.420" TargetMode="External" /><Relationship Type="http://schemas.openxmlformats.org/officeDocument/2006/relationships/hyperlink" Id="rId258"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7" Target="https://doi.org/10.1038/s41598-021-82306-0" TargetMode="External" /><Relationship Type="http://schemas.openxmlformats.org/officeDocument/2006/relationships/hyperlink" Id="rId203" Target="https://doi.org/10.1038/s42256-019-0048-x" TargetMode="External" /><Relationship Type="http://schemas.openxmlformats.org/officeDocument/2006/relationships/hyperlink" Id="rId250"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3"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7"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57" Target="https://doi.org/10.1177/2053951714564227" TargetMode="External" /><Relationship Type="http://schemas.openxmlformats.org/officeDocument/2006/relationships/hyperlink" Id="rId104" Target="https://doi.org/10.1186/s12911-021-01533-7" TargetMode="External" /><Relationship Type="http://schemas.openxmlformats.org/officeDocument/2006/relationships/hyperlink" Id="rId178" Target="https://doi.org/10.1214/aoms/1177730491" TargetMode="External" /><Relationship Type="http://schemas.openxmlformats.org/officeDocument/2006/relationships/hyperlink" Id="rId172"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40" Target="https://doi.org/10.18637/jss.v036.i03" TargetMode="External" /><Relationship Type="http://schemas.openxmlformats.org/officeDocument/2006/relationships/hyperlink" Id="rId209" Target="https://doi.org/10.21105/joss.02341" TargetMode="External" /><Relationship Type="http://schemas.openxmlformats.org/officeDocument/2006/relationships/hyperlink" Id="rId199" Target="https://doi.org/10.2174/1386207324666210309102239" TargetMode="External" /><Relationship Type="http://schemas.openxmlformats.org/officeDocument/2006/relationships/hyperlink" Id="rId207" Target="https://doi.org/10.22237/jmasm/1257035100" TargetMode="External" /><Relationship Type="http://schemas.openxmlformats.org/officeDocument/2006/relationships/hyperlink" Id="rId219" Target="https://doi.org/10.2307/1412159" TargetMode="External" /><Relationship Type="http://schemas.openxmlformats.org/officeDocument/2006/relationships/hyperlink" Id="rId224"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21" Target="https://doi.org/10.3390/foods13010003" TargetMode="External" /><Relationship Type="http://schemas.openxmlformats.org/officeDocument/2006/relationships/hyperlink" Id="rId211" Target="https://doi.org/10.3390/rs11080920" TargetMode="External" /><Relationship Type="http://schemas.openxmlformats.org/officeDocument/2006/relationships/hyperlink" Id="rId170"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4" Target="https://doi.org/10.34667/tind.42184" TargetMode="External" /><Relationship Type="http://schemas.openxmlformats.org/officeDocument/2006/relationships/hyperlink" Id="rId168" Target="https://doi.org/10.5194/gmd-15-2839-2022" TargetMode="External" /><Relationship Type="http://schemas.openxmlformats.org/officeDocument/2006/relationships/hyperlink" Id="rId231" Target="https://doi.org/10.5281/zenodo.1480624" TargetMode="External" /><Relationship Type="http://schemas.openxmlformats.org/officeDocument/2006/relationships/hyperlink" Id="rId164" Target="https://doi.org/10.5751/ES-08834-210442" TargetMode="External" /><Relationship Type="http://schemas.openxmlformats.org/officeDocument/2006/relationships/hyperlink" Id="rId235" Target="https://doi.org/10.7326/M18-0850" TargetMode="External" /><Relationship Type="http://schemas.openxmlformats.org/officeDocument/2006/relationships/hyperlink" Id="rId247" Target="https://ggplot2.tidyverse.org" TargetMode="External" /><Relationship Type="http://schemas.openxmlformats.org/officeDocument/2006/relationships/hyperlink" Id="rId111" Target="https://igraph.org" TargetMode="External" /><Relationship Type="http://schemas.openxmlformats.org/officeDocument/2006/relationships/hyperlink" Id="rId176"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7" Target="https://www.R-project.org/" TargetMode="External" /><Relationship Type="http://schemas.openxmlformats.org/officeDocument/2006/relationships/hyperlink" Id="rId160" Target="https://www.jstatsoft.org/v25/i01/" TargetMode="External" /><Relationship Type="http://schemas.openxmlformats.org/officeDocument/2006/relationships/hyperlink" Id="rId252" Target="https://www.worldbank.org/en/topic/agriculture/brief/open-data-for-agriculture" TargetMode="External" /><Relationship Type="http://schemas.openxmlformats.org/officeDocument/2006/relationships/hyperlink" Id="rId256"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2025-11-30T19:43:23Z</dcterms:created>
  <dcterms:modified xsi:type="dcterms:W3CDTF">2025-11-30T19:43:23Z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